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545B1">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2025年度芜湖中心等营运单位房建改造</w:t>
      </w:r>
    </w:p>
    <w:p w14:paraId="332C392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项目家具采购及安装项目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0D3160AD">
      <w:pPr>
        <w:pStyle w:val="2"/>
        <w:rPr>
          <w:rFonts w:ascii="Times New Roman" w:hAnsi="Times New Roman" w:cs="Times New Roman"/>
          <w:color w:val="auto"/>
          <w:szCs w:val="21"/>
          <w:highlight w:val="none"/>
        </w:rPr>
      </w:pPr>
    </w:p>
    <w:p w14:paraId="6B3871F8">
      <w:pPr>
        <w:rPr>
          <w:color w:val="auto"/>
          <w:highlight w:val="none"/>
        </w:rPr>
      </w:pPr>
    </w:p>
    <w:p w14:paraId="28B17120">
      <w:pPr>
        <w:pStyle w:val="2"/>
        <w:rPr>
          <w:rFonts w:ascii="Times New Roman" w:hAnsi="Times New Roman" w:cs="Times New Roman"/>
          <w:color w:val="auto"/>
          <w:szCs w:val="21"/>
          <w:highlight w:val="none"/>
        </w:rPr>
      </w:pPr>
    </w:p>
    <w:p w14:paraId="3E23AC69">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9</w:t>
      </w:r>
      <w:r>
        <w:rPr>
          <w:rFonts w:hint="eastAsia" w:ascii="黑体" w:hAnsi="黑体" w:eastAsia="黑体" w:cs="黑体"/>
          <w:color w:val="auto"/>
          <w:sz w:val="32"/>
          <w:szCs w:val="32"/>
          <w:highlight w:val="none"/>
        </w:rPr>
        <w:t>月</w:t>
      </w:r>
    </w:p>
    <w:p w14:paraId="76D6F35A">
      <w:pPr>
        <w:pStyle w:val="2"/>
        <w:rPr>
          <w:rFonts w:hint="eastAsia" w:ascii="黑体" w:hAnsi="黑体" w:eastAsia="黑体" w:cs="黑体"/>
          <w:color w:val="auto"/>
          <w:sz w:val="32"/>
          <w:szCs w:val="32"/>
          <w:highlight w:val="none"/>
        </w:rPr>
      </w:pPr>
    </w:p>
    <w:p w14:paraId="02CB63D9">
      <w:pPr>
        <w:pStyle w:val="3"/>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5C62182C">
          <w:pPr>
            <w:pStyle w:val="15"/>
            <w:tabs>
              <w:tab w:val="right" w:leader="dot" w:pos="8312"/>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_Toc22532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第一章 </w:t>
          </w:r>
          <w:r>
            <w:rPr>
              <w:rFonts w:ascii="Times New Roman" w:hAnsi="Times New Roman" w:eastAsia="宋体" w:cs="Times New Roman"/>
              <w:color w:val="auto"/>
              <w:highlight w:val="none"/>
            </w:rPr>
            <w:t>采购公告</w:t>
          </w:r>
          <w:r>
            <w:rPr>
              <w:color w:val="auto"/>
            </w:rPr>
            <w:tab/>
          </w:r>
          <w:r>
            <w:rPr>
              <w:color w:val="auto"/>
            </w:rPr>
            <w:fldChar w:fldCharType="begin"/>
          </w:r>
          <w:r>
            <w:rPr>
              <w:color w:val="auto"/>
            </w:rPr>
            <w:instrText xml:space="preserve"> PAGEREF _Toc22532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1E98A35A">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_Toc21446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第二章 </w:t>
          </w:r>
          <w:r>
            <w:rPr>
              <w:rFonts w:ascii="Times New Roman" w:hAnsi="Times New Roman" w:eastAsia="宋体" w:cs="Times New Roman"/>
              <w:color w:val="auto"/>
              <w:highlight w:val="none"/>
            </w:rPr>
            <w:t>供应商须知</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136F7AD7">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_Toc13134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第三章 </w:t>
          </w:r>
          <w:r>
            <w:rPr>
              <w:rFonts w:ascii="Times New Roman" w:hAnsi="Times New Roman" w:eastAsia="宋体" w:cs="Times New Roman"/>
              <w:color w:val="auto"/>
              <w:highlight w:val="none"/>
            </w:rPr>
            <w:t>评审办法</w:t>
          </w:r>
          <w:r>
            <w:rPr>
              <w:color w:val="auto"/>
            </w:rPr>
            <w:tab/>
          </w:r>
          <w:r>
            <w:rPr>
              <w:color w:val="auto"/>
            </w:rPr>
            <w:fldChar w:fldCharType="begin"/>
          </w:r>
          <w:r>
            <w:rPr>
              <w:color w:val="auto"/>
            </w:rPr>
            <w:instrText xml:space="preserve"> PAGEREF _Toc13134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4"/>
              <w:highlight w:val="none"/>
            </w:rPr>
            <w:fldChar w:fldCharType="end"/>
          </w:r>
        </w:p>
        <w:p w14:paraId="6B2AA456">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_Toc14908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r>
            <w:rPr>
              <w:color w:val="auto"/>
            </w:rPr>
            <w:tab/>
          </w:r>
          <w:r>
            <w:rPr>
              <w:color w:val="auto"/>
            </w:rPr>
            <w:fldChar w:fldCharType="begin"/>
          </w:r>
          <w:r>
            <w:rPr>
              <w:color w:val="auto"/>
            </w:rPr>
            <w:instrText xml:space="preserve"> PAGEREF _Toc14908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4"/>
              <w:highlight w:val="none"/>
            </w:rPr>
            <w:fldChar w:fldCharType="end"/>
          </w:r>
        </w:p>
        <w:p w14:paraId="4F0E5480">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_Toc6933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第五章 采购需求及清单</w:t>
          </w:r>
          <w:r>
            <w:rPr>
              <w:color w:val="auto"/>
            </w:rPr>
            <w:tab/>
          </w:r>
          <w:r>
            <w:rPr>
              <w:color w:val="auto"/>
            </w:rPr>
            <w:fldChar w:fldCharType="begin"/>
          </w:r>
          <w:r>
            <w:rPr>
              <w:color w:val="auto"/>
            </w:rPr>
            <w:instrText xml:space="preserve"> PAGEREF _Toc6933 \h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4"/>
              <w:highlight w:val="none"/>
            </w:rPr>
            <w:fldChar w:fldCharType="end"/>
          </w:r>
        </w:p>
        <w:p w14:paraId="0E080170">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_Toc9484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r>
            <w:rPr>
              <w:color w:val="auto"/>
            </w:rPr>
            <w:tab/>
          </w:r>
          <w:r>
            <w:rPr>
              <w:color w:val="auto"/>
            </w:rPr>
            <w:fldChar w:fldCharType="begin"/>
          </w:r>
          <w:r>
            <w:rPr>
              <w:color w:val="auto"/>
            </w:rPr>
            <w:instrText xml:space="preserve"> PAGEREF _Toc9484 \h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4"/>
              <w:highlight w:val="none"/>
            </w:rPr>
            <w:fldChar w:fldCharType="end"/>
          </w:r>
        </w:p>
        <w:p w14:paraId="72646A1B">
          <w:pPr>
            <w:pStyle w:val="15"/>
            <w:tabs>
              <w:tab w:val="right" w:leader="dot" w:pos="8312"/>
            </w:tabs>
            <w:rPr>
              <w:color w:val="auto"/>
            </w:rPr>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22532"/>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0395_WPSOffice_Level2"/>
      <w:bookmarkStart w:id="2" w:name="_Toc24354_WPSOffice_Level2"/>
      <w:bookmarkStart w:id="3" w:name="_Toc12765"/>
      <w:bookmarkStart w:id="4" w:name="_Toc4489_WPSOffice_Level2"/>
      <w:bookmarkStart w:id="5" w:name="_Toc6496_WPSOffice_Level2"/>
      <w:bookmarkStart w:id="6" w:name="_Toc525632585"/>
      <w:bookmarkStart w:id="7" w:name="_Toc13871"/>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2025年度芜湖中心等营运单位房建改造项目家具采购及安装项目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宋体" w:hAnsi="宋体" w:eastAsia="宋体" w:cs="宋体"/>
          <w:color w:val="auto"/>
          <w:szCs w:val="21"/>
          <w:u w:val="single"/>
        </w:rPr>
        <w:t>本项目为芜湖中心、蚌埠处、淮南处、安庆大桥管辖的各站点房屋等基础设施维修和改造。</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8367_WPSOffice_Level2"/>
      <w:bookmarkStart w:id="9" w:name="_Toc525632586"/>
      <w:bookmarkStart w:id="10" w:name="_Toc18453"/>
      <w:bookmarkStart w:id="11" w:name="_Toc8128_WPSOffice_Level2"/>
      <w:bookmarkStart w:id="12" w:name="_Toc17858_WPSOffice_Level2"/>
      <w:bookmarkStart w:id="13" w:name="_Toc10274"/>
      <w:bookmarkStart w:id="14" w:name="_Toc23266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eastAsia" w:ascii="Times New Roman" w:hAnsi="Times New Roman" w:eastAsia="宋体" w:cs="Times New Roman"/>
          <w:color w:val="auto"/>
          <w:szCs w:val="21"/>
          <w:highlight w:val="none"/>
          <w:u w:val="single"/>
          <w:lang w:val="en-US" w:eastAsia="zh-CN"/>
        </w:rPr>
        <w:t>详见采购清单</w:t>
      </w:r>
      <w:r>
        <w:rPr>
          <w:rFonts w:hint="default" w:ascii="Times New Roman" w:hAnsi="Times New Roman" w:eastAsia="宋体" w:cs="Times New Roman"/>
          <w:color w:val="auto"/>
          <w:szCs w:val="21"/>
          <w:highlight w:val="none"/>
          <w:u w:val="single"/>
          <w:lang w:val="en-US" w:eastAsia="zh-CN"/>
        </w:rPr>
        <w:t>。</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详见采购清单及品牌推荐表。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人民币129.1万元</w:t>
      </w:r>
      <w:r>
        <w:rPr>
          <w:rFonts w:hint="eastAsia" w:ascii="宋体" w:hAnsi="宋体" w:eastAsia="宋体" w:cs="宋体"/>
          <w:b w:val="0"/>
          <w:bCs w:val="0"/>
          <w:color w:val="auto"/>
          <w:szCs w:val="21"/>
          <w:highlight w:val="none"/>
          <w:u w:val="single"/>
          <w:lang w:val="en-US" w:eastAsia="zh-CN"/>
        </w:rPr>
        <w:t>。</w:t>
      </w:r>
    </w:p>
    <w:p w14:paraId="52E2CB03">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val="en-US" w:eastAsia="zh-CN"/>
        </w:rPr>
        <w:t>2.7</w:t>
      </w:r>
      <w:r>
        <w:rPr>
          <w:rFonts w:hint="eastAsia" w:ascii="宋体" w:hAnsi="宋体" w:eastAsia="宋体" w:cs="宋体"/>
          <w:color w:val="auto"/>
          <w:szCs w:val="21"/>
          <w:highlight w:val="none"/>
        </w:rPr>
        <w:t xml:space="preserve"> 交货期：</w:t>
      </w:r>
      <w:r>
        <w:rPr>
          <w:rFonts w:hint="eastAsia" w:ascii="宋体" w:hAnsi="宋体" w:eastAsia="宋体" w:cs="宋体"/>
          <w:color w:val="auto"/>
          <w:szCs w:val="21"/>
          <w:highlight w:val="none"/>
          <w:u w:val="single"/>
          <w:lang w:val="en-US" w:eastAsia="zh-CN"/>
        </w:rPr>
        <w:t>自甲方通知之日起15日内货到现场安装完毕</w:t>
      </w:r>
      <w:r>
        <w:rPr>
          <w:rFonts w:hint="eastAsia" w:ascii="Times New Roman" w:hAnsi="Times New Roman" w:eastAsia="宋体" w:cs="Times New Roman"/>
          <w:color w:val="auto"/>
          <w:szCs w:val="21"/>
          <w:highlight w:val="none"/>
          <w:u w:val="single"/>
          <w:lang w:val="en-US" w:eastAsia="zh-CN"/>
        </w:rPr>
        <w:t>（根据实际情况安排进度）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宋体" w:hAnsi="宋体" w:eastAsia="宋体" w:cs="宋体"/>
          <w:color w:val="auto"/>
          <w:szCs w:val="21"/>
          <w:u w:val="single"/>
        </w:rPr>
        <w:t>芜湖中心、蚌埠处、淮南处、安庆大桥管辖的各站点</w:t>
      </w:r>
      <w:r>
        <w:rPr>
          <w:rFonts w:hint="eastAsia" w:ascii="宋体" w:hAnsi="宋体" w:eastAsia="宋体" w:cs="宋体"/>
          <w:color w:val="auto"/>
          <w:szCs w:val="21"/>
          <w:u w:val="single"/>
          <w:lang w:eastAsia="zh-CN"/>
        </w:rPr>
        <w:t>，</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50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家具类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29452_WPSOffice_Level2"/>
      <w:bookmarkStart w:id="19" w:name="_Toc25666_WPSOffice_Level2"/>
      <w:bookmarkStart w:id="20" w:name="_Toc2996_WPSOffice_Level2"/>
      <w:bookmarkStart w:id="21" w:name="_Toc4109_WPSOffice_Level2"/>
      <w:bookmarkStart w:id="22" w:name="_Toc525632588"/>
      <w:bookmarkStart w:id="23" w:name="_Toc4751"/>
      <w:bookmarkStart w:id="24" w:name="_Toc1994"/>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9</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12</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22B0FA7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付款备注：芜湖中心营运单位家具响应保证金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w:t>
      </w:r>
      <w:r>
        <w:rPr>
          <w:rFonts w:hint="eastAsia" w:ascii="宋体" w:hAnsi="宋体" w:cs="宋体"/>
          <w:b/>
          <w:color w:val="auto"/>
          <w:sz w:val="21"/>
          <w:szCs w:val="21"/>
          <w:highlight w:val="none"/>
          <w:u w:val="single"/>
          <w:lang w:val="en-US" w:eastAsia="zh-CN" w:bidi="ar"/>
        </w:rPr>
        <w:t>2%</w:t>
      </w:r>
      <w:r>
        <w:rPr>
          <w:rFonts w:hint="eastAsia" w:ascii="宋体" w:hAnsi="宋体" w:cs="宋体"/>
          <w:b/>
          <w:color w:val="auto"/>
          <w:sz w:val="21"/>
          <w:szCs w:val="21"/>
          <w:highlight w:val="none"/>
          <w:lang w:val="en-US" w:eastAsia="zh-CN" w:bidi="ar"/>
        </w:rPr>
        <w:t>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w:t>
      </w:r>
      <w:r>
        <w:rPr>
          <w:rFonts w:hint="eastAsia" w:ascii="宋体" w:hAnsi="宋体" w:cs="宋体"/>
          <w:b/>
          <w:color w:val="auto"/>
          <w:sz w:val="21"/>
          <w:szCs w:val="21"/>
          <w:highlight w:val="none"/>
          <w:u w:val="single"/>
          <w:lang w:val="en-US" w:eastAsia="zh-CN" w:bidi="ar"/>
        </w:rPr>
        <w:t>5%</w:t>
      </w:r>
      <w:r>
        <w:rPr>
          <w:rFonts w:hint="eastAsia" w:ascii="宋体" w:hAnsi="宋体" w:cs="宋体"/>
          <w:b/>
          <w:color w:val="auto"/>
          <w:sz w:val="21"/>
          <w:szCs w:val="21"/>
          <w:highlight w:val="none"/>
          <w:lang w:val="en-US" w:eastAsia="zh-CN" w:bidi="ar"/>
        </w:rPr>
        <w:t>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14943_WPSOffice_Level2"/>
      <w:bookmarkStart w:id="30" w:name="_Toc321_WPSOffice_Level2"/>
      <w:bookmarkStart w:id="31" w:name="_Toc525632592"/>
      <w:bookmarkStart w:id="32" w:name="_Toc28571_WPSOffice_Level2"/>
      <w:bookmarkStart w:id="33" w:name="_Toc20572_WPSOffice_Level2"/>
      <w:bookmarkStart w:id="34" w:name="_Toc26829"/>
      <w:bookmarkStart w:id="35" w:name="_Toc8501"/>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67DD1B2B">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EB2EA2">
      <w:pPr>
        <w:pStyle w:val="5"/>
        <w:spacing w:before="312" w:after="312"/>
        <w:rPr>
          <w:rFonts w:ascii="Times New Roman" w:hAnsi="Times New Roman" w:eastAsia="宋体" w:cs="Times New Roman"/>
          <w:color w:val="auto"/>
          <w:highlight w:val="none"/>
        </w:rPr>
      </w:pPr>
      <w:bookmarkStart w:id="36" w:name="_Toc21446"/>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26656928"/>
      <w:bookmarkStart w:id="38" w:name="_Toc55466811"/>
      <w:bookmarkStart w:id="39" w:name="_Toc29381_WPSOffice_Level2"/>
      <w:bookmarkStart w:id="40" w:name="_Toc19501"/>
      <w:bookmarkStart w:id="41" w:name="_Toc16069"/>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cs="宋体"/>
                <w:color w:val="auto"/>
                <w:sz w:val="22"/>
                <w:szCs w:val="22"/>
                <w:highlight w:val="none"/>
                <w:u w:val="single"/>
                <w:lang w:val="en-US" w:eastAsia="zh-CN"/>
              </w:rPr>
              <w:t xml:space="preserve">  2022 </w:t>
            </w:r>
            <w:r>
              <w:rPr>
                <w:rFonts w:hint="eastAsia" w:ascii="宋体" w:hAnsi="宋体" w:cs="宋体"/>
                <w:color w:val="auto"/>
                <w:sz w:val="22"/>
                <w:szCs w:val="22"/>
                <w:highlight w:val="none"/>
              </w:rPr>
              <w:t>年</w:t>
            </w:r>
            <w:r>
              <w:rPr>
                <w:rFonts w:hint="eastAsia" w:cs="宋体"/>
                <w:color w:val="auto"/>
                <w:sz w:val="22"/>
                <w:szCs w:val="22"/>
                <w:highlight w:val="none"/>
                <w:u w:val="single"/>
                <w:lang w:val="en-US" w:eastAsia="zh-CN"/>
              </w:rPr>
              <w:t xml:space="preserve">  1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1  </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w:t>
            </w:r>
            <w:r>
              <w:rPr>
                <w:rFonts w:hint="eastAsia" w:ascii="宋体" w:hAnsi="宋体" w:cs="宋体"/>
                <w:color w:val="auto"/>
                <w:sz w:val="22"/>
                <w:szCs w:val="22"/>
                <w:highlight w:val="none"/>
              </w:rPr>
              <w:t>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密封情况检查：宣布评审后，供应商代表互检响应文件密封及递交情况，并就检查结果明确意见。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评审</w:t>
            </w:r>
            <w:r>
              <w:rPr>
                <w:rFonts w:hint="default"/>
                <w:color w:val="auto"/>
                <w:sz w:val="22"/>
                <w:szCs w:val="22"/>
                <w:highlight w:val="none"/>
              </w:rPr>
              <w:t>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w:t>
            </w:r>
            <w:r>
              <w:rPr>
                <w:rFonts w:hint="eastAsia"/>
                <w:color w:val="auto"/>
                <w:sz w:val="22"/>
                <w:szCs w:val="22"/>
                <w:highlight w:val="none"/>
                <w:lang w:val="en-US" w:eastAsia="zh-CN"/>
              </w:rPr>
              <w:t>审</w:t>
            </w:r>
            <w:r>
              <w:rPr>
                <w:rFonts w:hint="default"/>
                <w:color w:val="auto"/>
                <w:sz w:val="22"/>
                <w:szCs w:val="22"/>
                <w:highlight w:val="none"/>
              </w:rPr>
              <w:t>专家确定方式：符合规定的评</w:t>
            </w:r>
            <w:r>
              <w:rPr>
                <w:rFonts w:hint="eastAsia"/>
                <w:color w:val="auto"/>
                <w:sz w:val="22"/>
                <w:szCs w:val="22"/>
                <w:highlight w:val="none"/>
                <w:lang w:val="en-US" w:eastAsia="zh-CN"/>
              </w:rPr>
              <w:t>审</w:t>
            </w:r>
            <w:r>
              <w:rPr>
                <w:rFonts w:hint="default"/>
                <w:color w:val="auto"/>
                <w:sz w:val="22"/>
                <w:szCs w:val="22"/>
                <w:highlight w:val="none"/>
              </w:rPr>
              <w:t>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w:t>
            </w:r>
            <w:r>
              <w:rPr>
                <w:rFonts w:hint="eastAsia"/>
                <w:color w:val="auto"/>
                <w:sz w:val="22"/>
                <w:szCs w:val="22"/>
                <w:highlight w:val="none"/>
                <w:lang w:val="en-US" w:eastAsia="zh-CN"/>
              </w:rPr>
              <w:t>审</w:t>
            </w:r>
            <w:r>
              <w:rPr>
                <w:rFonts w:hint="eastAsia"/>
                <w:color w:val="auto"/>
                <w:sz w:val="22"/>
                <w:szCs w:val="22"/>
                <w:highlight w:val="none"/>
              </w:rPr>
              <w:t>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lang w:val="en-US" w:eastAsia="zh-CN"/>
              </w:rPr>
              <w:t>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5D80C0AA">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拟成交人须在采购人通知之日起</w:t>
            </w:r>
            <w:r>
              <w:rPr>
                <w:rFonts w:hint="eastAsia" w:ascii="宋体" w:hAnsi="宋体" w:eastAsia="宋体" w:cs="宋体"/>
                <w:color w:val="auto"/>
                <w:sz w:val="22"/>
                <w:szCs w:val="22"/>
                <w:highlight w:val="yellow"/>
                <w:u w:val="single"/>
                <w:lang w:val="en-US" w:eastAsia="zh-CN"/>
              </w:rPr>
              <w:t>3</w:t>
            </w:r>
            <w:r>
              <w:rPr>
                <w:rFonts w:hint="eastAsia" w:ascii="宋体" w:hAnsi="宋体" w:eastAsia="宋体" w:cs="宋体"/>
                <w:color w:val="auto"/>
                <w:sz w:val="22"/>
                <w:szCs w:val="22"/>
                <w:highlight w:val="yellow"/>
                <w:lang w:val="en-US" w:eastAsia="zh-CN"/>
              </w:rPr>
              <w:t xml:space="preserve">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w:t>
            </w:r>
            <w:r>
              <w:rPr>
                <w:rFonts w:hint="eastAsia"/>
                <w:color w:val="auto"/>
                <w:spacing w:val="-3"/>
                <w:kern w:val="0"/>
                <w:sz w:val="22"/>
                <w:szCs w:val="22"/>
                <w:highlight w:val="none"/>
                <w:lang w:val="en-US" w:eastAsia="zh-CN"/>
              </w:rPr>
              <w:t>审</w:t>
            </w:r>
            <w:r>
              <w:rPr>
                <w:rFonts w:hint="default"/>
                <w:color w:val="auto"/>
                <w:spacing w:val="-3"/>
                <w:kern w:val="0"/>
                <w:sz w:val="22"/>
                <w:szCs w:val="22"/>
                <w:highlight w:val="none"/>
              </w:rPr>
              <w:t>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26656938"/>
            <w:bookmarkStart w:id="43" w:name="_Toc9067720"/>
            <w:bookmarkStart w:id="44" w:name="_Toc14201207"/>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sz w:val="22"/>
                <w:szCs w:val="22"/>
                <w:highlight w:val="none"/>
                <w:lang w:val="en-US" w:eastAsia="zh-CN"/>
              </w:rPr>
              <w:t>至少提供1个自2022年1月1日以来，单项合同额不低于50万元的家具类合同业绩，</w:t>
            </w:r>
            <w:r>
              <w:rPr>
                <w:rFonts w:hint="default"/>
                <w:color w:val="auto"/>
                <w:sz w:val="22"/>
                <w:szCs w:val="22"/>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sz w:val="22"/>
                <w:szCs w:val="22"/>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2"/>
        <w:rPr>
          <w:rFonts w:hint="eastAsia"/>
          <w:color w:val="auto"/>
        </w:rPr>
      </w:pPr>
    </w:p>
    <w:p w14:paraId="1BAF51CA">
      <w:pPr>
        <w:jc w:val="center"/>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生产体系认证；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w:t>
      </w:r>
      <w:r>
        <w:rPr>
          <w:rFonts w:hint="eastAsia" w:ascii="Times New Roman" w:hAnsi="Times New Roman" w:cs="Times New Roman"/>
          <w:color w:val="auto"/>
          <w:highlight w:val="none"/>
          <w:u w:val="single"/>
          <w:lang w:val="en-US" w:eastAsia="zh-CN"/>
        </w:rPr>
        <w:t>5%</w:t>
      </w:r>
      <w:r>
        <w:rPr>
          <w:rFonts w:hint="eastAsia" w:ascii="Times New Roman" w:hAnsi="Times New Roman" w:cs="Times New Roman"/>
          <w:color w:val="auto"/>
          <w:highlight w:val="none"/>
          <w:lang w:val="en-US" w:eastAsia="zh-CN"/>
        </w:rPr>
        <w:t>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26656988"/>
      <w:bookmarkStart w:id="48" w:name="_Toc9067727"/>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14201262"/>
      <w:bookmarkStart w:id="51" w:name="_Toc26656993"/>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5EC83685">
      <w:pPr>
        <w:spacing w:line="440" w:lineRule="exact"/>
        <w:ind w:firstLine="420"/>
        <w:rPr>
          <w:rFonts w:hint="eastAsia" w:ascii="Times New Roman" w:hAnsi="Times New Roman"/>
          <w:color w:val="auto"/>
          <w:sz w:val="21"/>
          <w:szCs w:val="24"/>
          <w:highlight w:val="none"/>
        </w:rPr>
      </w:pPr>
    </w:p>
    <w:p w14:paraId="37087C90">
      <w:pPr>
        <w:spacing w:line="440" w:lineRule="exact"/>
        <w:ind w:firstLine="420"/>
        <w:rPr>
          <w:rFonts w:hint="eastAsia" w:ascii="Times New Roman" w:hAnsi="Times New Roman"/>
          <w:color w:val="auto"/>
          <w:sz w:val="21"/>
          <w:szCs w:val="24"/>
          <w:highlight w:val="none"/>
        </w:rPr>
      </w:pPr>
    </w:p>
    <w:p w14:paraId="5C8FA54B">
      <w:pPr>
        <w:spacing w:line="440" w:lineRule="exact"/>
        <w:ind w:firstLine="420"/>
        <w:rPr>
          <w:rFonts w:hint="eastAsia" w:ascii="Times New Roman" w:hAnsi="Times New Roman"/>
          <w:color w:val="auto"/>
          <w:sz w:val="21"/>
          <w:szCs w:val="24"/>
          <w:highlight w:val="none"/>
        </w:rPr>
      </w:pPr>
    </w:p>
    <w:p w14:paraId="5C274470">
      <w:pPr>
        <w:spacing w:line="440" w:lineRule="exact"/>
        <w:ind w:firstLine="420"/>
        <w:rPr>
          <w:rFonts w:hint="eastAsia" w:ascii="Times New Roman" w:hAnsi="Times New Roman"/>
          <w:color w:val="auto"/>
          <w:sz w:val="21"/>
          <w:szCs w:val="24"/>
          <w:highlight w:val="none"/>
        </w:rPr>
      </w:pPr>
    </w:p>
    <w:p w14:paraId="003154E2">
      <w:pPr>
        <w:spacing w:line="440" w:lineRule="exact"/>
        <w:ind w:firstLine="420"/>
        <w:rPr>
          <w:rFonts w:hint="eastAsia" w:ascii="Times New Roman" w:hAnsi="Times New Roman"/>
          <w:color w:val="auto"/>
          <w:sz w:val="21"/>
          <w:szCs w:val="24"/>
          <w:highlight w:val="none"/>
        </w:rPr>
      </w:pPr>
    </w:p>
    <w:p w14:paraId="2EB43E35">
      <w:pPr>
        <w:spacing w:line="440" w:lineRule="exact"/>
        <w:ind w:firstLine="420"/>
        <w:rPr>
          <w:rFonts w:hint="eastAsia" w:ascii="Times New Roman" w:hAnsi="Times New Roman"/>
          <w:color w:val="auto"/>
          <w:sz w:val="21"/>
          <w:szCs w:val="24"/>
          <w:highlight w:val="none"/>
        </w:rPr>
      </w:pPr>
    </w:p>
    <w:p w14:paraId="65B95DDA">
      <w:pPr>
        <w:spacing w:line="440" w:lineRule="exact"/>
        <w:ind w:firstLine="420"/>
        <w:rPr>
          <w:rFonts w:hint="eastAsia" w:ascii="Times New Roman" w:hAnsi="Times New Roman"/>
          <w:color w:val="auto"/>
          <w:sz w:val="21"/>
          <w:szCs w:val="24"/>
          <w:highlight w:val="none"/>
        </w:rPr>
      </w:pPr>
    </w:p>
    <w:p w14:paraId="2350C917">
      <w:pPr>
        <w:spacing w:line="440" w:lineRule="exact"/>
        <w:ind w:firstLine="420"/>
        <w:rPr>
          <w:rFonts w:hint="eastAsia" w:ascii="Times New Roman" w:hAnsi="Times New Roman"/>
          <w:color w:val="auto"/>
          <w:sz w:val="21"/>
          <w:szCs w:val="24"/>
          <w:highlight w:val="none"/>
        </w:rPr>
      </w:pPr>
    </w:p>
    <w:p w14:paraId="10F719E7">
      <w:pPr>
        <w:spacing w:line="440" w:lineRule="exact"/>
        <w:ind w:firstLine="420"/>
        <w:rPr>
          <w:rFonts w:hint="eastAsia" w:ascii="Times New Roman" w:hAnsi="Times New Roman"/>
          <w:color w:val="auto"/>
          <w:sz w:val="21"/>
          <w:szCs w:val="24"/>
          <w:highlight w:val="none"/>
        </w:rPr>
      </w:pPr>
    </w:p>
    <w:p w14:paraId="6FB9C6F2">
      <w:pPr>
        <w:spacing w:line="440" w:lineRule="exact"/>
        <w:ind w:firstLine="420"/>
        <w:rPr>
          <w:rFonts w:hint="eastAsia" w:ascii="Times New Roman" w:hAnsi="Times New Roman"/>
          <w:color w:val="auto"/>
          <w:sz w:val="21"/>
          <w:szCs w:val="24"/>
          <w:highlight w:val="none"/>
        </w:rPr>
      </w:pPr>
    </w:p>
    <w:p w14:paraId="41F8E55B">
      <w:pPr>
        <w:spacing w:line="440" w:lineRule="exact"/>
        <w:ind w:firstLine="420"/>
        <w:rPr>
          <w:rFonts w:hint="eastAsia" w:ascii="Times New Roman" w:hAnsi="Times New Roman"/>
          <w:color w:val="auto"/>
          <w:sz w:val="21"/>
          <w:szCs w:val="24"/>
          <w:highlight w:val="none"/>
        </w:rPr>
      </w:pPr>
    </w:p>
    <w:p w14:paraId="37ACA3A7">
      <w:pPr>
        <w:spacing w:line="440" w:lineRule="exact"/>
        <w:ind w:firstLine="420"/>
        <w:rPr>
          <w:rFonts w:hint="eastAsia" w:ascii="Times New Roman" w:hAnsi="Times New Roman"/>
          <w:color w:val="auto"/>
          <w:sz w:val="21"/>
          <w:szCs w:val="24"/>
          <w:highlight w:val="none"/>
        </w:rPr>
      </w:pPr>
    </w:p>
    <w:p w14:paraId="66D8E197">
      <w:pPr>
        <w:spacing w:line="440" w:lineRule="exact"/>
        <w:ind w:firstLine="420"/>
        <w:rPr>
          <w:rFonts w:hint="eastAsia" w:ascii="Times New Roman" w:hAnsi="Times New Roman"/>
          <w:color w:val="auto"/>
          <w:sz w:val="21"/>
          <w:szCs w:val="24"/>
          <w:highlight w:val="none"/>
        </w:rPr>
      </w:pPr>
    </w:p>
    <w:p w14:paraId="79DA59A1">
      <w:pPr>
        <w:spacing w:line="440" w:lineRule="exact"/>
        <w:ind w:firstLine="420"/>
        <w:rPr>
          <w:rFonts w:hint="eastAsia" w:ascii="Times New Roman" w:hAnsi="Times New Roman"/>
          <w:color w:val="auto"/>
          <w:sz w:val="21"/>
          <w:szCs w:val="24"/>
          <w:highlight w:val="none"/>
        </w:rPr>
      </w:pPr>
    </w:p>
    <w:p w14:paraId="2B63DB7F">
      <w:pPr>
        <w:spacing w:line="440" w:lineRule="exact"/>
        <w:ind w:firstLine="420"/>
        <w:rPr>
          <w:rFonts w:hint="eastAsia" w:ascii="Times New Roman" w:hAnsi="Times New Roman"/>
          <w:color w:val="auto"/>
          <w:sz w:val="21"/>
          <w:szCs w:val="24"/>
          <w:highlight w:val="none"/>
        </w:rPr>
      </w:pPr>
    </w:p>
    <w:p w14:paraId="5D3F9486">
      <w:pPr>
        <w:spacing w:line="440" w:lineRule="exact"/>
        <w:ind w:firstLine="420"/>
        <w:rPr>
          <w:rFonts w:hint="eastAsia" w:ascii="Times New Roman" w:hAnsi="Times New Roman"/>
          <w:color w:val="auto"/>
          <w:sz w:val="21"/>
          <w:szCs w:val="24"/>
          <w:highlight w:val="none"/>
        </w:rPr>
      </w:pPr>
    </w:p>
    <w:p w14:paraId="3F81005B">
      <w:pPr>
        <w:spacing w:line="440" w:lineRule="exact"/>
        <w:ind w:firstLine="420"/>
        <w:rPr>
          <w:rFonts w:hint="eastAsia" w:ascii="Times New Roman" w:hAnsi="Times New Roman"/>
          <w:color w:val="auto"/>
          <w:sz w:val="21"/>
          <w:szCs w:val="24"/>
          <w:highlight w:val="none"/>
        </w:rPr>
      </w:pPr>
    </w:p>
    <w:p w14:paraId="1D18E46E">
      <w:pPr>
        <w:spacing w:line="440" w:lineRule="exact"/>
        <w:ind w:firstLine="420"/>
        <w:rPr>
          <w:rFonts w:hint="eastAsia" w:ascii="Times New Roman" w:hAnsi="Times New Roman"/>
          <w:color w:val="auto"/>
          <w:sz w:val="21"/>
          <w:szCs w:val="24"/>
          <w:highlight w:val="none"/>
        </w:rPr>
      </w:pPr>
    </w:p>
    <w:p w14:paraId="1D3070E3">
      <w:pPr>
        <w:spacing w:line="440" w:lineRule="exact"/>
        <w:ind w:firstLine="420"/>
        <w:rPr>
          <w:rFonts w:hint="eastAsia" w:ascii="Times New Roman" w:hAnsi="Times New Roman"/>
          <w:color w:val="auto"/>
          <w:sz w:val="21"/>
          <w:szCs w:val="24"/>
          <w:highlight w:val="none"/>
        </w:rPr>
      </w:pPr>
    </w:p>
    <w:p w14:paraId="21FC8088">
      <w:pPr>
        <w:spacing w:line="440" w:lineRule="exact"/>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13134"/>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447808662"/>
      <w:bookmarkStart w:id="57" w:name="_Toc14847"/>
      <w:bookmarkStart w:id="58" w:name="_Toc144974496"/>
      <w:bookmarkStart w:id="59" w:name="_Toc152042304"/>
      <w:bookmarkStart w:id="60" w:name="_Toc152045528"/>
      <w:bookmarkStart w:id="61" w:name="_Toc457482536"/>
      <w:bookmarkStart w:id="62" w:name="_Toc3834"/>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委员会按评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价相等时，评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5</w:t>
            </w:r>
            <w:r>
              <w:rPr>
                <w:rFonts w:hint="eastAsia" w:ascii="宋体" w:hAnsi="宋体" w:cs="宋体"/>
                <w:color w:val="auto"/>
                <w:sz w:val="21"/>
                <w:szCs w:val="24"/>
                <w:highlight w:val="none"/>
                <w:u w:val="single"/>
              </w:rPr>
              <w:t xml:space="preserve">0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24</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生产体系认证：</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1</w:t>
            </w:r>
            <w:r>
              <w:rPr>
                <w:rFonts w:hint="eastAsia" w:ascii="宋体" w:hAnsi="宋体" w:cs="宋体"/>
                <w:color w:val="auto"/>
                <w:sz w:val="21"/>
                <w:szCs w:val="24"/>
                <w:highlight w:val="none"/>
                <w:u w:val="single"/>
                <w:lang w:val="en-US" w:eastAsia="zh-CN"/>
              </w:rPr>
              <w:t xml:space="preserve">0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①如响应人的评审价低于评审价平均值的90%时，采购人可以在评审现场要求该响应人作出情况说明并提供相应降低工程造价的相关证明材料，参照附表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②异常低价或不平衡报价，采购人有权作废除响应资格处理。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低工程造价的相关证明材料，以避免错过要求澄清时间，造成的不良后果由响应人自行承担。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2)以下情形不得作为要求澄清或报价文件中提供异常低价响应说明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审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6"/>
        <w:gridCol w:w="933"/>
        <w:gridCol w:w="1513"/>
        <w:gridCol w:w="5543"/>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4"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853"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125"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7" w:hRule="atLeast"/>
          <w:jc w:val="center"/>
        </w:trPr>
        <w:tc>
          <w:tcPr>
            <w:tcW w:w="494"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853" w:type="pct"/>
            <w:vAlign w:val="center"/>
          </w:tcPr>
          <w:p w14:paraId="62D7CE1F">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125" w:type="pct"/>
            <w:vAlign w:val="center"/>
          </w:tcPr>
          <w:p w14:paraId="003C586F">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eastAsia" w:ascii="宋体" w:hAnsi="宋体" w:cs="宋体"/>
                <w:color w:val="auto"/>
                <w:sz w:val="21"/>
                <w:szCs w:val="24"/>
                <w:highlight w:val="none"/>
              </w:rPr>
              <w:t>（以合同签订时间为准），除供应商资审条件要求的业绩得</w:t>
            </w:r>
            <w:r>
              <w:rPr>
                <w:rFonts w:hint="eastAsia" w:ascii="宋体" w:hAnsi="宋体" w:cs="宋体"/>
                <w:color w:val="auto"/>
                <w:sz w:val="21"/>
                <w:szCs w:val="24"/>
                <w:highlight w:val="none"/>
                <w:lang w:val="en-US" w:eastAsia="zh-CN"/>
              </w:rPr>
              <w:t>35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15</w:t>
            </w:r>
            <w:r>
              <w:rPr>
                <w:rFonts w:hint="eastAsia" w:ascii="宋体" w:hAnsi="宋体" w:cs="宋体"/>
                <w:color w:val="auto"/>
                <w:sz w:val="21"/>
                <w:szCs w:val="24"/>
                <w:highlight w:val="none"/>
              </w:rPr>
              <w:t>万及以上的</w:t>
            </w:r>
            <w:r>
              <w:rPr>
                <w:rFonts w:hint="eastAsia" w:ascii="宋体" w:hAnsi="宋体" w:cs="宋体"/>
                <w:color w:val="auto"/>
                <w:sz w:val="21"/>
                <w:szCs w:val="24"/>
                <w:highlight w:val="none"/>
                <w:u w:val="single"/>
                <w:lang w:val="en-US" w:eastAsia="zh-CN"/>
              </w:rPr>
              <w:t xml:space="preserve">       </w:t>
            </w:r>
            <w:r>
              <w:rPr>
                <w:rFonts w:hint="eastAsia" w:ascii="宋体" w:hAnsi="宋体" w:cs="宋体"/>
                <w:color w:val="auto"/>
                <w:sz w:val="21"/>
                <w:szCs w:val="24"/>
                <w:highlight w:val="none"/>
                <w:u w:val="none"/>
                <w:lang w:val="en-US" w:eastAsia="zh-CN"/>
              </w:rPr>
              <w:t>家具类合同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50</w:t>
            </w:r>
            <w:r>
              <w:rPr>
                <w:rFonts w:hint="eastAsia" w:ascii="宋体" w:hAnsi="宋体" w:cs="宋体"/>
                <w:color w:val="auto"/>
                <w:sz w:val="21"/>
                <w:szCs w:val="24"/>
                <w:highlight w:val="none"/>
              </w:rPr>
              <w:t>分。</w:t>
            </w:r>
          </w:p>
          <w:p w14:paraId="1679D332">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94"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853" w:type="pct"/>
            <w:vAlign w:val="center"/>
          </w:tcPr>
          <w:p w14:paraId="2BCA433A">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125"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9C1D5BD">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3943130">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10"/>
              <w:keepNext w:val="0"/>
              <w:keepLines w:val="0"/>
              <w:suppressLineNumbers w:val="0"/>
              <w:spacing w:before="0" w:beforeAutospacing="0" w:after="0" w:afterAutospacing="0"/>
              <w:ind w:left="0" w:right="0"/>
              <w:rPr>
                <w:rFonts w:hint="eastAsia"/>
                <w:color w:val="auto"/>
                <w:highlight w:val="yellow"/>
                <w:lang w:eastAsia="zh-CN"/>
              </w:rPr>
            </w:pPr>
            <w:r>
              <w:rPr>
                <w:rFonts w:hint="eastAsia"/>
                <w:color w:val="auto"/>
                <w:highlight w:val="yellow"/>
                <w:lang w:val="en-US" w:eastAsia="zh-CN"/>
              </w:rPr>
              <w:t>注：经销商/代理商参与的需要提供产品生产厂家授权文件。</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4"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853" w:type="pct"/>
            <w:vAlign w:val="center"/>
          </w:tcPr>
          <w:p w14:paraId="188F7F47">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生产</w:t>
            </w:r>
            <w:r>
              <w:rPr>
                <w:rFonts w:hint="eastAsia" w:ascii="宋体" w:hAnsi="宋体" w:cs="宋体"/>
                <w:color w:val="auto"/>
                <w:spacing w:val="-1"/>
                <w:sz w:val="21"/>
                <w:szCs w:val="21"/>
                <w:highlight w:val="none"/>
              </w:rPr>
              <w:t>体系认</w:t>
            </w:r>
            <w:r>
              <w:rPr>
                <w:rFonts w:hint="eastAsia" w:ascii="宋体" w:hAnsi="宋体" w:cs="宋体"/>
                <w:color w:val="auto"/>
                <w:sz w:val="21"/>
                <w:szCs w:val="21"/>
                <w:highlight w:val="none"/>
              </w:rPr>
              <w:t>证</w:t>
            </w:r>
          </w:p>
          <w:p w14:paraId="4B4EEB8E">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6  </w:t>
            </w:r>
            <w:r>
              <w:rPr>
                <w:rFonts w:hint="eastAsia" w:ascii="宋体" w:hAnsi="宋体" w:cs="宋体"/>
                <w:color w:val="auto"/>
                <w:sz w:val="21"/>
                <w:szCs w:val="21"/>
                <w:highlight w:val="none"/>
              </w:rPr>
              <w:t>分）</w:t>
            </w:r>
          </w:p>
        </w:tc>
        <w:tc>
          <w:tcPr>
            <w:tcW w:w="3125" w:type="pct"/>
            <w:vAlign w:val="center"/>
          </w:tcPr>
          <w:p w14:paraId="505720CC">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yellow"/>
                <w:lang w:val="en-US" w:eastAsia="zh-CN"/>
              </w:rPr>
              <w:t>产品生产厂家</w:t>
            </w:r>
            <w:r>
              <w:rPr>
                <w:rFonts w:hint="eastAsia" w:ascii="宋体" w:hAnsi="宋体" w:cs="宋体"/>
                <w:color w:val="auto"/>
                <w:kern w:val="0"/>
                <w:sz w:val="21"/>
                <w:szCs w:val="21"/>
                <w:highlight w:val="none"/>
                <w:lang w:bidi="ar"/>
              </w:rPr>
              <w:t>具有有效期内的质量管理体系认证证书、环境管理体系认证证书、职业健康安全管理体系认证证书的，每提供1个得2分，总分6分。提供证书扫描件，未提供或提供材料不符合要求的不得分。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4"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853" w:type="pct"/>
            <w:shd w:val="clear" w:color="auto" w:fill="auto"/>
            <w:vAlign w:val="center"/>
          </w:tcPr>
          <w:p w14:paraId="0FFC4C0C">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4CD1C9F8">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1</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125" w:type="pct"/>
            <w:shd w:val="clear" w:color="auto" w:fill="auto"/>
            <w:vAlign w:val="center"/>
          </w:tcPr>
          <w:p w14:paraId="0C475E4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10-7分；一般的得6-3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4"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853"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10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125" w:type="pct"/>
            <w:shd w:val="clear" w:color="auto" w:fill="auto"/>
            <w:vAlign w:val="center"/>
          </w:tcPr>
          <w:p w14:paraId="3686DE7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优秀的得10-7分；一般的得6-3分，较差得基础分2分，未提供不得分</w:t>
            </w:r>
            <w:r>
              <w:rPr>
                <w:rFonts w:hint="eastAsia" w:ascii="宋体" w:hAnsi="宋体" w:cs="宋体"/>
                <w:color w:val="auto"/>
                <w:sz w:val="21"/>
                <w:szCs w:val="24"/>
                <w:highlight w:val="none"/>
                <w:lang w:val="en-US" w:eastAsia="zh-CN"/>
              </w:rPr>
              <w:t>。</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w:t>
      </w:r>
      <w:r>
        <w:rPr>
          <w:rFonts w:hint="eastAsia" w:ascii="Times New Roman" w:hAnsi="Times New Roman"/>
          <w:color w:val="auto"/>
          <w:sz w:val="21"/>
          <w:szCs w:val="24"/>
          <w:highlight w:val="none"/>
          <w:lang w:val="en-US" w:eastAsia="zh-CN"/>
        </w:rPr>
        <w:t>审</w:t>
      </w:r>
      <w:r>
        <w:rPr>
          <w:rFonts w:hint="eastAsia" w:ascii="Times New Roman" w:hAnsi="Times New Roman"/>
          <w:color w:val="auto"/>
          <w:sz w:val="21"/>
          <w:szCs w:val="24"/>
          <w:highlight w:val="none"/>
        </w:rPr>
        <w:t>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w:t>
      </w:r>
      <w:r>
        <w:rPr>
          <w:rFonts w:hint="eastAsia" w:ascii="Times New Roman" w:hAnsi="Times New Roman"/>
          <w:color w:val="auto"/>
          <w:sz w:val="21"/>
          <w:szCs w:val="24"/>
          <w:highlight w:val="yellow"/>
          <w:lang w:val="en-US" w:eastAsia="zh-CN"/>
        </w:rPr>
        <w:t>审</w:t>
      </w:r>
      <w:r>
        <w:rPr>
          <w:rFonts w:hint="eastAsia" w:ascii="Times New Roman" w:hAnsi="Times New Roman" w:eastAsiaTheme="minorEastAsia"/>
          <w:color w:val="auto"/>
          <w:sz w:val="21"/>
          <w:szCs w:val="24"/>
          <w:highlight w:val="yellow"/>
          <w:lang w:eastAsia="zh-CN"/>
        </w:rPr>
        <w:t>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14908"/>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7360336A">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2CEBD639">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7BE1EF89">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02B92091">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4.成交公示后，在合同签订前，乙方需向甲方支付合同总价2%的履约保证金或提供合同总价5%的银行保函。</w:t>
      </w:r>
    </w:p>
    <w:p w14:paraId="3FBDC6E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5.乙方供货后</w:t>
      </w:r>
      <w:bookmarkStart w:id="218" w:name="_GoBack"/>
      <w:bookmarkEnd w:id="218"/>
      <w:r>
        <w:rPr>
          <w:rFonts w:hint="eastAsia" w:ascii="仿宋_GB2312" w:hAnsi="仿宋_GB2312" w:eastAsia="仿宋_GB2312" w:cs="仿宋_GB2312"/>
          <w:color w:val="auto"/>
          <w:sz w:val="28"/>
          <w:szCs w:val="28"/>
          <w:highlight w:val="none"/>
          <w:lang w:val="en-US" w:eastAsia="zh-CN"/>
        </w:rPr>
        <w:t>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1EA9B6C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4"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4"/>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8"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8"/>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5"/>
        <w:numPr>
          <w:ilvl w:val="255"/>
          <w:numId w:val="0"/>
        </w:numPr>
        <w:spacing w:before="312" w:after="312"/>
        <w:ind w:left="402"/>
        <w:rPr>
          <w:rFonts w:ascii="Times New Roman" w:hAnsi="Times New Roman" w:eastAsia="宋体" w:cs="Times New Roman"/>
          <w:color w:val="auto"/>
          <w:highlight w:val="none"/>
        </w:rPr>
      </w:pPr>
      <w:bookmarkStart w:id="65" w:name="_Toc6933"/>
      <w:r>
        <w:rPr>
          <w:rFonts w:hint="eastAsia" w:ascii="Times New Roman" w:hAnsi="Times New Roman" w:eastAsia="宋体" w:cs="Times New Roman"/>
          <w:color w:val="auto"/>
          <w:highlight w:val="none"/>
          <w:lang w:val="en-US" w:eastAsia="zh-CN"/>
        </w:rPr>
        <w:t xml:space="preserve">第五章 </w:t>
      </w:r>
      <w:bookmarkStart w:id="66" w:name="_Toc31285"/>
      <w:bookmarkStart w:id="67" w:name="_Toc25485"/>
      <w:r>
        <w:rPr>
          <w:rFonts w:hint="eastAsia" w:ascii="Times New Roman" w:hAnsi="Times New Roman" w:eastAsia="宋体" w:cs="Times New Roman"/>
          <w:color w:val="auto"/>
          <w:highlight w:val="none"/>
          <w:lang w:val="en-US" w:eastAsia="zh-CN"/>
        </w:rPr>
        <w:t>采购需求及清单</w:t>
      </w:r>
      <w:bookmarkEnd w:id="65"/>
      <w:bookmarkEnd w:id="66"/>
      <w:bookmarkEnd w:id="67"/>
    </w:p>
    <w:p w14:paraId="45C5A6E3">
      <w:pPr>
        <w:pStyle w:val="19"/>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75C3E3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3861E4F0">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4C3D331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442FF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41DC54C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68190187">
      <w:pPr>
        <w:snapToGrid w:val="0"/>
        <w:spacing w:line="400" w:lineRule="exact"/>
        <w:ind w:firstLine="480" w:firstLineChars="200"/>
        <w:jc w:val="left"/>
        <w:rPr>
          <w:rFonts w:hint="eastAsia" w:ascii="宋体" w:hAnsi="宋体" w:cs="宋体"/>
          <w:color w:val="auto"/>
          <w:sz w:val="24"/>
          <w:szCs w:val="24"/>
          <w:highlight w:val="none"/>
        </w:rPr>
      </w:pP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0C026B4F">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8" w:name="_Toc9484"/>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8"/>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9"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678919D1">
      <w:pPr>
        <w:jc w:val="both"/>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7E262CA0">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2025年度芜湖中心等营运单位房建改造</w:t>
      </w: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项目家具采购及安装项目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70" w:name="_Toc26098"/>
      <w:bookmarkStart w:id="71" w:name="_Toc20091"/>
      <w:bookmarkStart w:id="72" w:name="_Toc15601"/>
      <w:bookmarkStart w:id="73" w:name="_Toc11988"/>
      <w:bookmarkStart w:id="74" w:name="_Toc10074"/>
      <w:bookmarkStart w:id="75" w:name="_Toc6480"/>
      <w:bookmarkStart w:id="76" w:name="_Toc2527"/>
      <w:bookmarkStart w:id="77" w:name="_Toc11846"/>
      <w:r>
        <w:rPr>
          <w:rFonts w:ascii="Times New Roman" w:hAnsi="Times New Roman" w:eastAsia="黑体" w:cs="Times New Roman"/>
          <w:color w:val="auto"/>
          <w:sz w:val="50"/>
          <w:szCs w:val="50"/>
          <w:highlight w:val="none"/>
        </w:rPr>
        <w:t>响  应  文  件</w:t>
      </w:r>
      <w:bookmarkEnd w:id="70"/>
      <w:bookmarkEnd w:id="71"/>
      <w:bookmarkEnd w:id="72"/>
      <w:bookmarkEnd w:id="73"/>
      <w:bookmarkEnd w:id="74"/>
      <w:bookmarkEnd w:id="75"/>
      <w:bookmarkEnd w:id="76"/>
      <w:bookmarkEnd w:id="77"/>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8" w:name="_Toc25232_WPSOffice_Level2"/>
      <w:bookmarkStart w:id="79"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8"/>
      <w:bookmarkEnd w:id="79"/>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0" w:name="_Toc20076_WPSOffice_Level2"/>
      <w:bookmarkStart w:id="81"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0"/>
      <w:bookmarkEnd w:id="81"/>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82" w:name="_Toc24654"/>
      <w:bookmarkStart w:id="83" w:name="_Toc1219"/>
      <w:bookmarkStart w:id="84" w:name="_Toc11330"/>
      <w:bookmarkStart w:id="85" w:name="_Toc32504"/>
      <w:bookmarkStart w:id="86" w:name="_Toc2795"/>
      <w:bookmarkStart w:id="87" w:name="_Toc21704"/>
      <w:bookmarkStart w:id="88" w:name="_Toc888"/>
      <w:bookmarkStart w:id="89" w:name="_Toc25724"/>
      <w:r>
        <w:rPr>
          <w:rFonts w:hint="eastAsia" w:ascii="黑体" w:hAnsi="黑体" w:eastAsia="黑体" w:cs="黑体"/>
          <w:b/>
          <w:bCs/>
          <w:color w:val="auto"/>
          <w:sz w:val="28"/>
          <w:szCs w:val="28"/>
          <w:highlight w:val="none"/>
        </w:rPr>
        <w:t>一、响应函（不含报价）</w:t>
      </w:r>
      <w:bookmarkEnd w:id="69"/>
      <w:bookmarkEnd w:id="82"/>
      <w:bookmarkEnd w:id="83"/>
      <w:bookmarkEnd w:id="84"/>
      <w:bookmarkEnd w:id="85"/>
      <w:bookmarkEnd w:id="86"/>
      <w:bookmarkEnd w:id="87"/>
      <w:bookmarkEnd w:id="88"/>
      <w:bookmarkEnd w:id="89"/>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2025年度芜湖中心等营运单位房建改造项目家具采购及安装项目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0" w:name="_Hlk122530524"/>
      <w:r>
        <w:rPr>
          <w:rFonts w:hint="eastAsia" w:ascii="宋体" w:hAnsi="宋体" w:cs="宋体"/>
          <w:color w:val="auto"/>
          <w:sz w:val="24"/>
          <w:szCs w:val="24"/>
          <w:highlight w:val="none"/>
          <w:u w:val="single"/>
        </w:rPr>
        <w:t xml:space="preserve">                         </w:t>
      </w:r>
      <w:bookmarkEnd w:id="90"/>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91" w:name="_Toc5068"/>
      <w:bookmarkStart w:id="92" w:name="_Toc23378"/>
      <w:bookmarkStart w:id="93" w:name="_Toc28024"/>
      <w:bookmarkStart w:id="94" w:name="_Toc16965"/>
      <w:bookmarkStart w:id="95" w:name="_Toc10497"/>
      <w:bookmarkStart w:id="96" w:name="_Toc28522"/>
      <w:bookmarkStart w:id="97" w:name="_Toc23511"/>
      <w:bookmarkStart w:id="98" w:name="_Toc2139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1"/>
      <w:bookmarkEnd w:id="92"/>
      <w:bookmarkEnd w:id="93"/>
      <w:bookmarkEnd w:id="94"/>
      <w:bookmarkEnd w:id="95"/>
      <w:bookmarkEnd w:id="96"/>
      <w:bookmarkEnd w:id="97"/>
      <w:bookmarkEnd w:id="98"/>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2025年度芜湖中心等营运单位房建改造项目家具采购及安装项目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9" w:name="_Toc24785"/>
      <w:bookmarkStart w:id="100" w:name="_Toc19890"/>
      <w:bookmarkStart w:id="101" w:name="_Toc28296"/>
      <w:bookmarkStart w:id="102" w:name="_Toc16245"/>
      <w:bookmarkStart w:id="103" w:name="_Toc26457"/>
      <w:bookmarkStart w:id="104" w:name="_Toc2224"/>
      <w:bookmarkStart w:id="105" w:name="_Toc23593"/>
      <w:bookmarkStart w:id="106" w:name="_Toc23112"/>
      <w:bookmarkStart w:id="107" w:name="_Toc30116"/>
      <w:r>
        <w:rPr>
          <w:rFonts w:hint="eastAsia" w:ascii="黑体" w:hAnsi="宋体" w:eastAsia="黑体" w:cs="黑体"/>
          <w:color w:val="auto"/>
          <w:kern w:val="2"/>
          <w:sz w:val="28"/>
          <w:szCs w:val="28"/>
          <w:highlight w:val="none"/>
          <w:lang w:val="en-US" w:eastAsia="zh-CN" w:bidi="ar"/>
        </w:rPr>
        <w:t>三、供应商基本情况</w:t>
      </w:r>
      <w:bookmarkEnd w:id="99"/>
      <w:bookmarkEnd w:id="100"/>
      <w:bookmarkEnd w:id="101"/>
      <w:bookmarkEnd w:id="102"/>
      <w:bookmarkEnd w:id="103"/>
      <w:bookmarkEnd w:id="104"/>
      <w:bookmarkEnd w:id="105"/>
      <w:bookmarkEnd w:id="106"/>
      <w:bookmarkEnd w:id="107"/>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3D623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2384E1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25A61A6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08" w:name="_Toc31962"/>
      <w:bookmarkStart w:id="109" w:name="_Toc22190"/>
      <w:bookmarkStart w:id="110" w:name="_Toc5395"/>
      <w:bookmarkStart w:id="111" w:name="_Toc12834"/>
      <w:bookmarkStart w:id="112" w:name="_Toc22364"/>
      <w:bookmarkStart w:id="113" w:name="_Toc9989"/>
      <w:bookmarkStart w:id="114" w:name="_Toc17884"/>
      <w:bookmarkStart w:id="115" w:name="_Toc28901"/>
      <w:bookmarkStart w:id="116" w:name="_Toc7483"/>
      <w:r>
        <w:rPr>
          <w:rFonts w:hint="eastAsia" w:ascii="黑体" w:hAnsi="宋体" w:eastAsia="黑体" w:cs="黑体"/>
          <w:color w:val="auto"/>
          <w:kern w:val="2"/>
          <w:sz w:val="28"/>
          <w:szCs w:val="28"/>
          <w:highlight w:val="none"/>
          <w:lang w:val="en-US" w:eastAsia="zh-CN" w:bidi="ar"/>
        </w:rPr>
        <w:t>四、近年类似业绩情况</w:t>
      </w:r>
      <w:bookmarkEnd w:id="108"/>
      <w:bookmarkEnd w:id="109"/>
      <w:bookmarkEnd w:id="110"/>
      <w:bookmarkEnd w:id="111"/>
      <w:bookmarkEnd w:id="112"/>
      <w:bookmarkEnd w:id="113"/>
      <w:bookmarkEnd w:id="114"/>
      <w:bookmarkEnd w:id="115"/>
      <w:bookmarkEnd w:id="116"/>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17" w:name="_Toc24647"/>
      <w:bookmarkStart w:id="118" w:name="_Toc6439"/>
      <w:bookmarkStart w:id="119" w:name="_Toc27124"/>
      <w:bookmarkStart w:id="120" w:name="_Toc21498"/>
      <w:bookmarkStart w:id="121" w:name="_Toc165"/>
      <w:bookmarkStart w:id="122" w:name="_Toc14517"/>
      <w:bookmarkStart w:id="123" w:name="_Toc29607"/>
      <w:bookmarkStart w:id="124" w:name="_Toc22722"/>
      <w:bookmarkStart w:id="125" w:name="_Toc23165"/>
      <w:r>
        <w:rPr>
          <w:rFonts w:hint="eastAsia" w:ascii="黑体" w:hAnsi="宋体" w:eastAsia="黑体" w:cs="黑体"/>
          <w:color w:val="auto"/>
          <w:kern w:val="2"/>
          <w:sz w:val="28"/>
          <w:szCs w:val="28"/>
          <w:highlight w:val="none"/>
          <w:lang w:val="en-US" w:eastAsia="zh-CN" w:bidi="ar"/>
        </w:rPr>
        <w:t>五、信誉情况</w:t>
      </w:r>
      <w:bookmarkEnd w:id="117"/>
      <w:bookmarkEnd w:id="118"/>
      <w:bookmarkEnd w:id="119"/>
      <w:bookmarkEnd w:id="120"/>
      <w:bookmarkEnd w:id="121"/>
      <w:bookmarkEnd w:id="122"/>
      <w:bookmarkEnd w:id="123"/>
      <w:bookmarkEnd w:id="124"/>
      <w:bookmarkEnd w:id="125"/>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26" w:name="_Toc11349"/>
      <w:bookmarkStart w:id="127" w:name="_Toc29972"/>
      <w:bookmarkStart w:id="128" w:name="_Toc28465"/>
      <w:bookmarkStart w:id="129" w:name="_Toc22954"/>
      <w:bookmarkStart w:id="130" w:name="_Toc24578"/>
      <w:bookmarkStart w:id="131" w:name="_Toc15048"/>
      <w:bookmarkStart w:id="132" w:name="_Toc22047"/>
      <w:bookmarkStart w:id="133" w:name="_Toc10389"/>
      <w:bookmarkStart w:id="134" w:name="_Toc1569"/>
      <w:r>
        <w:rPr>
          <w:rFonts w:hint="eastAsia" w:ascii="黑体" w:hAnsi="宋体" w:eastAsia="黑体" w:cs="黑体"/>
          <w:color w:val="auto"/>
          <w:kern w:val="2"/>
          <w:sz w:val="28"/>
          <w:szCs w:val="28"/>
          <w:highlight w:val="none"/>
          <w:lang w:val="en-US" w:eastAsia="zh-CN" w:bidi="ar"/>
        </w:rPr>
        <w:t>六、企业实力</w:t>
      </w:r>
      <w:bookmarkEnd w:id="126"/>
      <w:bookmarkEnd w:id="127"/>
      <w:bookmarkEnd w:id="128"/>
      <w:bookmarkEnd w:id="129"/>
      <w:bookmarkEnd w:id="130"/>
      <w:bookmarkEnd w:id="131"/>
      <w:bookmarkEnd w:id="132"/>
      <w:bookmarkEnd w:id="133"/>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35" w:name="_Toc19445"/>
      <w:bookmarkStart w:id="136" w:name="_Toc15666"/>
      <w:bookmarkStart w:id="137" w:name="_Toc9722"/>
      <w:bookmarkStart w:id="138" w:name="_Toc29493"/>
      <w:bookmarkStart w:id="139" w:name="_Toc143"/>
      <w:bookmarkStart w:id="140" w:name="_Toc22740"/>
      <w:bookmarkStart w:id="141" w:name="_Toc7906"/>
      <w:bookmarkStart w:id="142" w:name="_Toc18170"/>
      <w:r>
        <w:rPr>
          <w:rFonts w:hint="eastAsia" w:ascii="黑体" w:hAnsi="宋体" w:eastAsia="黑体" w:cs="黑体"/>
          <w:color w:val="auto"/>
          <w:kern w:val="2"/>
          <w:sz w:val="28"/>
          <w:szCs w:val="28"/>
          <w:highlight w:val="none"/>
          <w:lang w:val="en-US" w:eastAsia="zh-CN" w:bidi="ar"/>
        </w:rPr>
        <w:t>七、</w:t>
      </w:r>
      <w:bookmarkEnd w:id="134"/>
      <w:r>
        <w:rPr>
          <w:rFonts w:hint="eastAsia" w:ascii="黑体" w:hAnsi="宋体" w:eastAsia="黑体" w:cs="黑体"/>
          <w:color w:val="auto"/>
          <w:kern w:val="2"/>
          <w:sz w:val="28"/>
          <w:szCs w:val="28"/>
          <w:highlight w:val="none"/>
          <w:lang w:val="en-US" w:eastAsia="zh-CN" w:bidi="ar"/>
        </w:rPr>
        <w:t>生产体系认证</w:t>
      </w:r>
      <w:bookmarkEnd w:id="135"/>
      <w:bookmarkEnd w:id="136"/>
      <w:bookmarkEnd w:id="137"/>
      <w:bookmarkEnd w:id="138"/>
      <w:bookmarkEnd w:id="139"/>
      <w:bookmarkEnd w:id="140"/>
      <w:bookmarkEnd w:id="141"/>
      <w:bookmarkEnd w:id="142"/>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43" w:name="_Toc31378"/>
      <w:bookmarkStart w:id="144"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45" w:name="_Toc27742"/>
      <w:bookmarkStart w:id="146" w:name="_Toc3549"/>
      <w:bookmarkStart w:id="147" w:name="_Toc28805"/>
      <w:bookmarkStart w:id="148" w:name="_Toc5689"/>
      <w:bookmarkStart w:id="149" w:name="_Toc16215"/>
      <w:bookmarkStart w:id="150" w:name="_Toc32620"/>
      <w:bookmarkStart w:id="151" w:name="_Toc22943"/>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43"/>
      <w:r>
        <w:rPr>
          <w:rFonts w:hint="eastAsia" w:ascii="Times New Roman" w:hAnsi="Times New Roman" w:eastAsia="黑体"/>
          <w:color w:val="auto"/>
          <w:sz w:val="28"/>
          <w:szCs w:val="28"/>
          <w:highlight w:val="none"/>
          <w:lang w:val="en-US" w:eastAsia="zh-CN"/>
        </w:rPr>
        <w:t>供货方案</w:t>
      </w:r>
      <w:bookmarkEnd w:id="145"/>
      <w:bookmarkEnd w:id="146"/>
      <w:bookmarkEnd w:id="147"/>
      <w:bookmarkEnd w:id="148"/>
      <w:bookmarkEnd w:id="149"/>
      <w:bookmarkEnd w:id="150"/>
      <w:bookmarkEnd w:id="151"/>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52" w:name="_Toc18620"/>
      <w:bookmarkStart w:id="153" w:name="_Toc16936"/>
      <w:bookmarkStart w:id="154" w:name="_Toc6951"/>
      <w:bookmarkStart w:id="155" w:name="_Toc7901"/>
      <w:bookmarkStart w:id="156" w:name="_Toc10923"/>
      <w:bookmarkStart w:id="157" w:name="_Toc4217"/>
      <w:bookmarkStart w:id="158" w:name="_Toc15543"/>
      <w:bookmarkStart w:id="159" w:name="_Toc3565"/>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52"/>
      <w:bookmarkEnd w:id="153"/>
      <w:bookmarkEnd w:id="154"/>
      <w:bookmarkEnd w:id="155"/>
      <w:bookmarkEnd w:id="156"/>
      <w:bookmarkEnd w:id="157"/>
      <w:bookmarkEnd w:id="158"/>
      <w:bookmarkEnd w:id="159"/>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44"/>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60"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61" w:name="_Toc8048"/>
      <w:bookmarkStart w:id="162" w:name="_Toc11806"/>
      <w:bookmarkStart w:id="163" w:name="_Toc9218"/>
      <w:bookmarkStart w:id="164" w:name="_Toc15049"/>
      <w:bookmarkStart w:id="165" w:name="_Toc31164"/>
      <w:bookmarkStart w:id="166" w:name="_Toc28647"/>
      <w:bookmarkStart w:id="167" w:name="_Toc3896"/>
      <w:bookmarkStart w:id="168" w:name="_Toc26159"/>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61"/>
      <w:r>
        <w:rPr>
          <w:rFonts w:hint="eastAsia" w:ascii="Times New Roman" w:hAnsi="Times New Roman" w:eastAsia="黑体"/>
          <w:color w:val="auto"/>
          <w:sz w:val="28"/>
          <w:szCs w:val="28"/>
          <w:highlight w:val="none"/>
          <w:lang w:val="en-US" w:eastAsia="zh-CN"/>
        </w:rPr>
        <w:t>售后服务方案</w:t>
      </w:r>
      <w:bookmarkEnd w:id="162"/>
      <w:bookmarkEnd w:id="163"/>
      <w:bookmarkEnd w:id="164"/>
      <w:bookmarkEnd w:id="165"/>
      <w:bookmarkEnd w:id="166"/>
      <w:bookmarkEnd w:id="167"/>
      <w:bookmarkEnd w:id="168"/>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69" w:name="_Toc29460"/>
      <w:bookmarkStart w:id="170" w:name="_Toc11461"/>
      <w:bookmarkStart w:id="171" w:name="_Toc30922"/>
      <w:bookmarkStart w:id="172" w:name="_Toc9931"/>
      <w:bookmarkStart w:id="173" w:name="_Toc7405"/>
      <w:bookmarkStart w:id="174" w:name="_Toc6095"/>
      <w:bookmarkStart w:id="175" w:name="_Toc7980"/>
      <w:bookmarkStart w:id="176" w:name="_Toc25621"/>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69"/>
      <w:bookmarkEnd w:id="170"/>
      <w:bookmarkEnd w:id="171"/>
      <w:bookmarkEnd w:id="172"/>
      <w:bookmarkEnd w:id="173"/>
      <w:bookmarkEnd w:id="174"/>
      <w:bookmarkEnd w:id="175"/>
      <w:bookmarkEnd w:id="176"/>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77" w:name="_Toc24671"/>
      <w:bookmarkStart w:id="178" w:name="_Toc22621"/>
      <w:bookmarkStart w:id="179" w:name="_Toc15284"/>
      <w:bookmarkStart w:id="180" w:name="_Toc11900"/>
      <w:bookmarkStart w:id="181" w:name="_Toc29067"/>
      <w:bookmarkStart w:id="182" w:name="_Toc16480"/>
      <w:bookmarkStart w:id="183" w:name="_Toc14186"/>
      <w:bookmarkStart w:id="184" w:name="_Toc31636"/>
      <w:r>
        <w:rPr>
          <w:rFonts w:hint="eastAsia" w:ascii="黑体" w:hAnsi="宋体" w:eastAsia="黑体" w:cs="黑体"/>
          <w:color w:val="auto"/>
          <w:kern w:val="2"/>
          <w:sz w:val="28"/>
          <w:szCs w:val="28"/>
          <w:highlight w:val="none"/>
          <w:lang w:val="en-US" w:eastAsia="zh-CN" w:bidi="ar"/>
        </w:rPr>
        <w:t>十、承诺书</w:t>
      </w:r>
      <w:bookmarkEnd w:id="160"/>
      <w:bookmarkEnd w:id="177"/>
      <w:bookmarkEnd w:id="178"/>
      <w:bookmarkEnd w:id="179"/>
      <w:bookmarkEnd w:id="180"/>
      <w:bookmarkEnd w:id="181"/>
      <w:bookmarkEnd w:id="182"/>
      <w:bookmarkEnd w:id="183"/>
      <w:bookmarkEnd w:id="184"/>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2025年度芜湖中心等营运单位房建改造项目家具采购及安装项目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85" w:name="_Toc2975"/>
      <w:bookmarkStart w:id="186" w:name="_Toc18523"/>
      <w:bookmarkStart w:id="187" w:name="_Toc30427"/>
      <w:bookmarkStart w:id="188" w:name="_Toc10121"/>
      <w:bookmarkStart w:id="189" w:name="_Toc3055"/>
      <w:bookmarkStart w:id="190" w:name="_Toc31058"/>
      <w:bookmarkStart w:id="191" w:name="_Toc30685"/>
      <w:bookmarkStart w:id="192" w:name="_Toc10955"/>
      <w:bookmarkStart w:id="193" w:name="_Toc11711"/>
      <w:r>
        <w:rPr>
          <w:rFonts w:hint="eastAsia" w:ascii="黑体" w:hAnsi="宋体" w:eastAsia="黑体" w:cs="黑体"/>
          <w:color w:val="auto"/>
          <w:kern w:val="2"/>
          <w:sz w:val="28"/>
          <w:szCs w:val="28"/>
          <w:highlight w:val="none"/>
          <w:lang w:val="en-US" w:eastAsia="zh-CN" w:bidi="ar"/>
        </w:rPr>
        <w:t>十一、其他材料</w:t>
      </w:r>
      <w:bookmarkEnd w:id="185"/>
      <w:bookmarkEnd w:id="186"/>
      <w:bookmarkEnd w:id="187"/>
      <w:bookmarkEnd w:id="188"/>
      <w:bookmarkEnd w:id="189"/>
      <w:bookmarkEnd w:id="190"/>
      <w:bookmarkEnd w:id="191"/>
      <w:bookmarkEnd w:id="192"/>
      <w:bookmarkEnd w:id="193"/>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088D61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2025年度芜湖中心等营运单位房建改造</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项目家具采购及安装项目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194" w:name="_Toc10608"/>
      <w:bookmarkStart w:id="195" w:name="_Toc23972"/>
      <w:bookmarkStart w:id="196" w:name="_Toc24213"/>
      <w:bookmarkStart w:id="197" w:name="_Toc21076"/>
      <w:bookmarkStart w:id="198" w:name="_Toc10029"/>
      <w:bookmarkStart w:id="199" w:name="_Toc977"/>
      <w:bookmarkStart w:id="200" w:name="_Toc4837"/>
      <w:bookmarkStart w:id="201" w:name="_Toc2786"/>
      <w:bookmarkStart w:id="202" w:name="_Toc28949"/>
      <w:r>
        <w:rPr>
          <w:rFonts w:ascii="Times New Roman" w:hAnsi="Times New Roman" w:eastAsia="黑体" w:cs="Times New Roman"/>
          <w:color w:val="auto"/>
          <w:sz w:val="50"/>
          <w:szCs w:val="50"/>
          <w:highlight w:val="none"/>
        </w:rPr>
        <w:t>响  应  文  件</w:t>
      </w:r>
      <w:bookmarkEnd w:id="194"/>
      <w:bookmarkEnd w:id="195"/>
      <w:bookmarkEnd w:id="196"/>
      <w:bookmarkEnd w:id="197"/>
      <w:bookmarkEnd w:id="198"/>
      <w:bookmarkEnd w:id="199"/>
      <w:bookmarkEnd w:id="200"/>
      <w:bookmarkEnd w:id="201"/>
      <w:bookmarkEnd w:id="202"/>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203" w:name="_Toc23583"/>
      <w:bookmarkStart w:id="204" w:name="_Toc11805_WPSOffice_Level1"/>
      <w:bookmarkStart w:id="205" w:name="_Toc15092"/>
      <w:bookmarkStart w:id="206" w:name="_Toc30031_WPSOffice_Level1"/>
      <w:bookmarkStart w:id="207" w:name="_Toc29968"/>
      <w:bookmarkStart w:id="208" w:name="_Toc29399_WPSOffice_Level1"/>
      <w:bookmarkStart w:id="209" w:name="_Toc18312_WPSOffice_Level1"/>
      <w:bookmarkStart w:id="210" w:name="_Toc24269_WPSOffice_Level1"/>
      <w:bookmarkStart w:id="211" w:name="_Toc1924"/>
      <w:bookmarkStart w:id="212" w:name="_Toc1687_WPSOffice_Level1"/>
      <w:bookmarkStart w:id="213" w:name="_Toc8703"/>
      <w:bookmarkStart w:id="214" w:name="_Toc2765_WPSOffice_Level1"/>
      <w:r>
        <w:rPr>
          <w:rFonts w:hint="eastAsia" w:ascii="黑体" w:hAnsi="黑体" w:eastAsia="黑体" w:cs="黑体"/>
          <w:b w:val="0"/>
          <w:bCs/>
          <w:color w:val="auto"/>
          <w:sz w:val="28"/>
          <w:szCs w:val="28"/>
          <w:highlight w:val="none"/>
        </w:rPr>
        <w:t>一、</w:t>
      </w:r>
      <w:bookmarkEnd w:id="203"/>
      <w:bookmarkEnd w:id="204"/>
      <w:bookmarkEnd w:id="205"/>
      <w:bookmarkEnd w:id="206"/>
      <w:bookmarkEnd w:id="207"/>
      <w:bookmarkEnd w:id="208"/>
      <w:bookmarkEnd w:id="209"/>
      <w:bookmarkEnd w:id="210"/>
      <w:bookmarkEnd w:id="211"/>
      <w:bookmarkEnd w:id="212"/>
      <w:bookmarkEnd w:id="213"/>
      <w:bookmarkEnd w:id="214"/>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2025年度芜湖中心等营运单位房建改造项目家具采购及安装项目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215" w:name="_Toc272486050"/>
      <w:bookmarkStart w:id="216" w:name="_Toc162490440"/>
      <w:bookmarkStart w:id="217" w:name="_Toc153421230"/>
      <w:r>
        <w:rPr>
          <w:rFonts w:hint="eastAsia" w:ascii="黑体" w:hAnsi="黑体" w:eastAsia="黑体" w:cs="黑体"/>
          <w:b w:val="0"/>
          <w:bCs/>
          <w:color w:val="auto"/>
          <w:sz w:val="28"/>
          <w:szCs w:val="28"/>
          <w:highlight w:val="none"/>
        </w:rPr>
        <w:t>二、</w:t>
      </w:r>
      <w:bookmarkEnd w:id="215"/>
      <w:bookmarkEnd w:id="216"/>
      <w:bookmarkEnd w:id="217"/>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2"/>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78"/>
        <w:gridCol w:w="3405"/>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578"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405"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578"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405"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359"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524"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033682D5">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3BCEB11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7FCF4E6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07511D3A">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6B55C20">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成交人对提供的供应货物质量负总责，材料进场应按程序履行报验、交接手续；因供应货物质量问题，将视作违约，成交人须赔偿由此造成返工的全部工程建设费用及其他一切损失，同时由采购人追究成交人的违约责任，情节严重的，依法追究相关责任。</w:t>
      </w:r>
    </w:p>
    <w:p w14:paraId="32E8FD67">
      <w:pPr>
        <w:rPr>
          <w:rFonts w:hint="eastAsia" w:ascii="Times New Roman" w:hAnsi="Times New Roman" w:eastAsia="华文中宋" w:cs="Times New Roman"/>
          <w:b/>
          <w:smallCaps/>
          <w:color w:val="auto"/>
          <w:sz w:val="24"/>
          <w:szCs w:val="24"/>
          <w:highlight w:val="none"/>
          <w:lang w:val="en-US" w:eastAsia="zh-CN"/>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FA9CABF-7968-4529-85B1-64775B4474A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DDD332E-712D-4634-B025-8598EE0FD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8BCF477-DB1F-4993-A8E2-E6D34EDDECD8}"/>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097C6349-EF40-44D5-921A-ADD023DD59E8}"/>
  </w:font>
  <w:font w:name="方正小标宋简体">
    <w:panose1 w:val="02000000000000000000"/>
    <w:charset w:val="86"/>
    <w:family w:val="auto"/>
    <w:pitch w:val="default"/>
    <w:sig w:usb0="00000001" w:usb1="08000000" w:usb2="00000000" w:usb3="00000000" w:csb0="00040000" w:csb1="00000000"/>
    <w:embedRegular r:id="rId5" w:fontKey="{0AC9B496-3222-4148-8E2B-D648F62F25F3}"/>
  </w:font>
  <w:font w:name="Wingdings 2">
    <w:panose1 w:val="05020102010507070707"/>
    <w:charset w:val="02"/>
    <w:family w:val="roman"/>
    <w:pitch w:val="default"/>
    <w:sig w:usb0="00000000" w:usb1="00000000" w:usb2="00000000" w:usb3="00000000" w:csb0="80000000" w:csb1="00000000"/>
    <w:embedRegular r:id="rId6" w:fontKey="{5215AF3F-999E-47CF-93A2-024F2C68877B}"/>
  </w:font>
  <w:font w:name="华文楷体">
    <w:panose1 w:val="02010600040101010101"/>
    <w:charset w:val="86"/>
    <w:family w:val="auto"/>
    <w:pitch w:val="default"/>
    <w:sig w:usb0="00000287" w:usb1="080F0000" w:usb2="00000000" w:usb3="00000000" w:csb0="0004009F" w:csb1="DFD70000"/>
    <w:embedRegular r:id="rId7" w:fontKey="{FDE568CA-8813-4E36-8E67-6F6FDC35A210}"/>
  </w:font>
  <w:font w:name="仿宋_GB2312">
    <w:altName w:val="仿宋"/>
    <w:panose1 w:val="02010609030101010101"/>
    <w:charset w:val="86"/>
    <w:family w:val="modern"/>
    <w:pitch w:val="default"/>
    <w:sig w:usb0="00000000" w:usb1="00000000" w:usb2="00000000" w:usb3="00000000" w:csb0="00040000" w:csb1="00000000"/>
    <w:embedRegular r:id="rId8" w:fontKey="{1CA0DBF3-6B2A-4410-914E-8EFDB2C4CFBE}"/>
  </w:font>
  <w:font w:name="仿宋">
    <w:panose1 w:val="02010609060101010101"/>
    <w:charset w:val="86"/>
    <w:family w:val="auto"/>
    <w:pitch w:val="default"/>
    <w:sig w:usb0="800002BF" w:usb1="38CF7CFA" w:usb2="00000016" w:usb3="00000000" w:csb0="00040001" w:csb1="00000000"/>
    <w:embedRegular r:id="rId9" w:fontKey="{523B15DE-C2E8-4449-90DB-4788A1FD2064}"/>
  </w:font>
  <w:font w:name="楷体">
    <w:panose1 w:val="02010609060101010101"/>
    <w:charset w:val="86"/>
    <w:family w:val="auto"/>
    <w:pitch w:val="default"/>
    <w:sig w:usb0="800002BF" w:usb1="38CF7CFA" w:usb2="00000016" w:usb3="00000000" w:csb0="00040001" w:csb1="00000000"/>
    <w:embedRegular r:id="rId10" w:fontKey="{780AF345-2213-4F8F-ADD4-BFE7941FE495}"/>
  </w:font>
  <w:font w:name="华文中宋">
    <w:panose1 w:val="02010600040101010101"/>
    <w:charset w:val="50"/>
    <w:family w:val="auto"/>
    <w:pitch w:val="default"/>
    <w:sig w:usb0="00000287" w:usb1="080F0000" w:usb2="00000000" w:usb3="00000000" w:csb0="0004009F" w:csb1="DFD70000"/>
    <w:embedRegular r:id="rId11" w:fontKey="{DAEC62FC-FAEF-4743-B242-36916DCB45B4}"/>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1FD42EF"/>
    <w:rsid w:val="0211370D"/>
    <w:rsid w:val="0215764D"/>
    <w:rsid w:val="022655F4"/>
    <w:rsid w:val="023E3C6A"/>
    <w:rsid w:val="02777BFD"/>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461F7D"/>
    <w:rsid w:val="045E338A"/>
    <w:rsid w:val="046E6DDE"/>
    <w:rsid w:val="047010F6"/>
    <w:rsid w:val="04701D1E"/>
    <w:rsid w:val="047A1C27"/>
    <w:rsid w:val="049D76C3"/>
    <w:rsid w:val="04C16A73"/>
    <w:rsid w:val="04E034BC"/>
    <w:rsid w:val="05085F79"/>
    <w:rsid w:val="051C4A8C"/>
    <w:rsid w:val="052851DF"/>
    <w:rsid w:val="0535195E"/>
    <w:rsid w:val="054416D2"/>
    <w:rsid w:val="05AF29EE"/>
    <w:rsid w:val="05D2339D"/>
    <w:rsid w:val="05F62696"/>
    <w:rsid w:val="05F94BA8"/>
    <w:rsid w:val="060774EA"/>
    <w:rsid w:val="061816F7"/>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5787"/>
    <w:rsid w:val="091A677A"/>
    <w:rsid w:val="09210464"/>
    <w:rsid w:val="095E1B17"/>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57A5D"/>
    <w:rsid w:val="0CA667B4"/>
    <w:rsid w:val="0CB62B1E"/>
    <w:rsid w:val="0CD81BE1"/>
    <w:rsid w:val="0D604989"/>
    <w:rsid w:val="0D676CED"/>
    <w:rsid w:val="0DBD0BDC"/>
    <w:rsid w:val="0DC42165"/>
    <w:rsid w:val="0DD26630"/>
    <w:rsid w:val="0DE02F17"/>
    <w:rsid w:val="0E1E3623"/>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CF32FA"/>
    <w:rsid w:val="10DA535D"/>
    <w:rsid w:val="10F20D97"/>
    <w:rsid w:val="10F863AD"/>
    <w:rsid w:val="110D2AFF"/>
    <w:rsid w:val="112131E2"/>
    <w:rsid w:val="11681ED6"/>
    <w:rsid w:val="119C482A"/>
    <w:rsid w:val="11B06C88"/>
    <w:rsid w:val="11C6025A"/>
    <w:rsid w:val="11DF30C9"/>
    <w:rsid w:val="11E46EAE"/>
    <w:rsid w:val="11F528ED"/>
    <w:rsid w:val="11FD4CD5"/>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0E117B"/>
    <w:rsid w:val="1C511068"/>
    <w:rsid w:val="1C7D1E5D"/>
    <w:rsid w:val="1C9D0478"/>
    <w:rsid w:val="1CA464D8"/>
    <w:rsid w:val="1CB03FE0"/>
    <w:rsid w:val="1CB20DCC"/>
    <w:rsid w:val="1CB304A3"/>
    <w:rsid w:val="1CCE26B8"/>
    <w:rsid w:val="1CD07137"/>
    <w:rsid w:val="1CE76D4F"/>
    <w:rsid w:val="1CF12CD2"/>
    <w:rsid w:val="1D3320C5"/>
    <w:rsid w:val="1D3772E3"/>
    <w:rsid w:val="1D3F5364"/>
    <w:rsid w:val="1D990F18"/>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432E03"/>
    <w:rsid w:val="20556493"/>
    <w:rsid w:val="20703AC9"/>
    <w:rsid w:val="20A774A8"/>
    <w:rsid w:val="20CE5700"/>
    <w:rsid w:val="20CE712B"/>
    <w:rsid w:val="20E701EC"/>
    <w:rsid w:val="21366A7E"/>
    <w:rsid w:val="216C51F8"/>
    <w:rsid w:val="21705735"/>
    <w:rsid w:val="218872DA"/>
    <w:rsid w:val="21A659B2"/>
    <w:rsid w:val="21EC1864"/>
    <w:rsid w:val="21F52495"/>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822706"/>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331DAD"/>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CF11535"/>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CC52D7"/>
    <w:rsid w:val="34E42564"/>
    <w:rsid w:val="34EA61B8"/>
    <w:rsid w:val="34F12F90"/>
    <w:rsid w:val="34F82570"/>
    <w:rsid w:val="3518676F"/>
    <w:rsid w:val="35201A23"/>
    <w:rsid w:val="352E500F"/>
    <w:rsid w:val="355434F9"/>
    <w:rsid w:val="35690D78"/>
    <w:rsid w:val="35727A6C"/>
    <w:rsid w:val="35843E04"/>
    <w:rsid w:val="35B540D6"/>
    <w:rsid w:val="35BE0BED"/>
    <w:rsid w:val="35C66E2C"/>
    <w:rsid w:val="35CA2312"/>
    <w:rsid w:val="35F76384"/>
    <w:rsid w:val="360F1920"/>
    <w:rsid w:val="361938E0"/>
    <w:rsid w:val="362F5E73"/>
    <w:rsid w:val="36413AA3"/>
    <w:rsid w:val="364C6C07"/>
    <w:rsid w:val="366A124C"/>
    <w:rsid w:val="366A4DA8"/>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BD57167"/>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4D77D9"/>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4FA19ED"/>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3A2D00"/>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B792C"/>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476C5D"/>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45BE4"/>
    <w:rsid w:val="511A7AB0"/>
    <w:rsid w:val="512E2388"/>
    <w:rsid w:val="516C77CE"/>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E67F6"/>
    <w:rsid w:val="557F5C64"/>
    <w:rsid w:val="55BD4A9D"/>
    <w:rsid w:val="55CE5FAF"/>
    <w:rsid w:val="55D65B5E"/>
    <w:rsid w:val="55FF50B5"/>
    <w:rsid w:val="56026953"/>
    <w:rsid w:val="561641AD"/>
    <w:rsid w:val="563E671E"/>
    <w:rsid w:val="5647080A"/>
    <w:rsid w:val="56695122"/>
    <w:rsid w:val="566B44F9"/>
    <w:rsid w:val="567C6706"/>
    <w:rsid w:val="568D4A8B"/>
    <w:rsid w:val="568E01E7"/>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3B273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CF36FF6"/>
    <w:rsid w:val="5D047455"/>
    <w:rsid w:val="5D656145"/>
    <w:rsid w:val="5D804893"/>
    <w:rsid w:val="5DA53F1B"/>
    <w:rsid w:val="5DA54794"/>
    <w:rsid w:val="5DC63FF9"/>
    <w:rsid w:val="5E96232F"/>
    <w:rsid w:val="5EEC3B51"/>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A15272"/>
    <w:rsid w:val="61C111BB"/>
    <w:rsid w:val="61D84352"/>
    <w:rsid w:val="61DA4AD9"/>
    <w:rsid w:val="61F335F4"/>
    <w:rsid w:val="62031A89"/>
    <w:rsid w:val="622F0AD0"/>
    <w:rsid w:val="623D3E1F"/>
    <w:rsid w:val="62626313"/>
    <w:rsid w:val="629D4803"/>
    <w:rsid w:val="62AE498D"/>
    <w:rsid w:val="62ED1A72"/>
    <w:rsid w:val="633F4D43"/>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5F75DA9"/>
    <w:rsid w:val="66576847"/>
    <w:rsid w:val="66672543"/>
    <w:rsid w:val="6683497C"/>
    <w:rsid w:val="669B2BD8"/>
    <w:rsid w:val="66B21CD0"/>
    <w:rsid w:val="66CD13E8"/>
    <w:rsid w:val="66D734E4"/>
    <w:rsid w:val="66E872A7"/>
    <w:rsid w:val="676E5CC7"/>
    <w:rsid w:val="67E14BAB"/>
    <w:rsid w:val="67EE0AE5"/>
    <w:rsid w:val="67F71E56"/>
    <w:rsid w:val="683A3D2B"/>
    <w:rsid w:val="684C44B3"/>
    <w:rsid w:val="68506E3A"/>
    <w:rsid w:val="686A0AB4"/>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ABE50E7"/>
    <w:rsid w:val="6AFC5C0F"/>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C12D11"/>
    <w:rsid w:val="6CFE27E3"/>
    <w:rsid w:val="6D274D94"/>
    <w:rsid w:val="6D6655C2"/>
    <w:rsid w:val="6D7B2E1B"/>
    <w:rsid w:val="6D8C026B"/>
    <w:rsid w:val="6D955447"/>
    <w:rsid w:val="6D9E0D2D"/>
    <w:rsid w:val="6D9E2EF6"/>
    <w:rsid w:val="6DA87988"/>
    <w:rsid w:val="6DAD3879"/>
    <w:rsid w:val="6DD01AB0"/>
    <w:rsid w:val="6DD16EDF"/>
    <w:rsid w:val="6DD857F0"/>
    <w:rsid w:val="6DE5298B"/>
    <w:rsid w:val="6DE94229"/>
    <w:rsid w:val="6DEB139F"/>
    <w:rsid w:val="6DF350A8"/>
    <w:rsid w:val="6E160D96"/>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4E1E86"/>
    <w:rsid w:val="7E5043EB"/>
    <w:rsid w:val="7E604231"/>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4582</Words>
  <Characters>4950</Characters>
  <Lines>1</Lines>
  <Paragraphs>1</Paragraphs>
  <TotalTime>15</TotalTime>
  <ScaleCrop>false</ScaleCrop>
  <LinksUpToDate>false</LinksUpToDate>
  <CharactersWithSpaces>5151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方容</cp:lastModifiedBy>
  <cp:lastPrinted>2025-07-29T09:12:00Z</cp:lastPrinted>
  <dcterms:modified xsi:type="dcterms:W3CDTF">2025-09-09T13:11:06Z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84301ADF2A4D46D8B96C1B734FC5EAA5_13</vt:lpwstr>
  </property>
  <property fmtid="{D5CDD505-2E9C-101B-9397-08002B2CF9AE}" pid="4" name="KSOTemplateDocerSaveRecord">
    <vt:lpwstr>eyJoZGlkIjoiYjQ5ZjRiMGQ4NzU2NDgxMTFmZDZhZTE4N2ZkYWRkMjciLCJ1c2VySWQiOiIyNTczNjc5NzcifQ==</vt:lpwstr>
  </property>
</Properties>
</file>