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751DA">
      <w:pPr>
        <w:widowControl/>
        <w:jc w:val="cente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安徽省经工物资有限公司惠达洁具年度</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采购项目</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9"/>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lang w:val="en-US"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9 </w:t>
      </w:r>
      <w:r>
        <w:rPr>
          <w:rFonts w:hint="eastAsia" w:ascii="黑体" w:hAnsi="黑体" w:eastAsia="黑体" w:cs="黑体"/>
          <w:color w:val="auto"/>
          <w:sz w:val="32"/>
          <w:szCs w:val="32"/>
          <w:highlight w:val="none"/>
        </w:rPr>
        <w:t>月</w:t>
      </w:r>
    </w:p>
    <w:p w14:paraId="0C11000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p w14:paraId="22316A6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2345F7C0">
          <w:pPr>
            <w:pStyle w:val="15"/>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_Toc26033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_Toc26033 \h </w:instrText>
          </w:r>
          <w:r>
            <w:fldChar w:fldCharType="separate"/>
          </w:r>
          <w:r>
            <w:t>3</w:t>
          </w:r>
          <w:r>
            <w:fldChar w:fldCharType="end"/>
          </w:r>
          <w:r>
            <w:rPr>
              <w:rFonts w:hint="eastAsia" w:ascii="宋体" w:hAnsi="宋体" w:eastAsia="宋体" w:cs="宋体"/>
              <w:color w:val="auto"/>
              <w:szCs w:val="24"/>
            </w:rPr>
            <w:fldChar w:fldCharType="end"/>
          </w:r>
        </w:p>
        <w:p w14:paraId="1A9476BB">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_Toc3435 </w:instrText>
          </w:r>
          <w:r>
            <w:rPr>
              <w:rFonts w:hint="eastAsia" w:ascii="宋体" w:hAnsi="宋体" w:eastAsia="宋体" w:cs="宋体"/>
              <w:szCs w:val="24"/>
            </w:rPr>
            <w:fldChar w:fldCharType="separate"/>
          </w:r>
          <w:r>
            <w:rPr>
              <w:rFonts w:hint="eastAsia" w:ascii="Times New Roman" w:hAnsi="Times New Roman" w:eastAsia="宋体"/>
              <w:szCs w:val="44"/>
            </w:rPr>
            <w:t>第二章 供应商须知</w:t>
          </w:r>
          <w:r>
            <w:tab/>
          </w:r>
          <w:r>
            <w:fldChar w:fldCharType="begin"/>
          </w:r>
          <w:r>
            <w:instrText xml:space="preserve"> PAGEREF _Toc3435 \h </w:instrText>
          </w:r>
          <w:r>
            <w:fldChar w:fldCharType="separate"/>
          </w:r>
          <w:r>
            <w:t>7</w:t>
          </w:r>
          <w:r>
            <w:fldChar w:fldCharType="end"/>
          </w:r>
          <w:r>
            <w:rPr>
              <w:rFonts w:hint="eastAsia" w:ascii="宋体" w:hAnsi="宋体" w:eastAsia="宋体" w:cs="宋体"/>
              <w:color w:val="auto"/>
              <w:szCs w:val="24"/>
            </w:rPr>
            <w:fldChar w:fldCharType="end"/>
          </w:r>
        </w:p>
        <w:p w14:paraId="41DEDEA9">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_Toc27729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第三章 </w:t>
          </w:r>
          <w:r>
            <w:rPr>
              <w:rFonts w:hint="eastAsia" w:ascii="Times New Roman" w:hAnsi="Times New Roman" w:eastAsia="宋体"/>
              <w:szCs w:val="44"/>
            </w:rPr>
            <w:t>评审办法</w:t>
          </w:r>
          <w:r>
            <w:tab/>
          </w:r>
          <w:r>
            <w:fldChar w:fldCharType="begin"/>
          </w:r>
          <w:r>
            <w:instrText xml:space="preserve"> PAGEREF _Toc27729 \h </w:instrText>
          </w:r>
          <w:r>
            <w:fldChar w:fldCharType="separate"/>
          </w:r>
          <w:r>
            <w:t>16</w:t>
          </w:r>
          <w:r>
            <w:fldChar w:fldCharType="end"/>
          </w:r>
          <w:r>
            <w:rPr>
              <w:rFonts w:hint="eastAsia" w:ascii="宋体" w:hAnsi="宋体" w:eastAsia="宋体" w:cs="宋体"/>
              <w:color w:val="auto"/>
              <w:szCs w:val="24"/>
            </w:rPr>
            <w:fldChar w:fldCharType="end"/>
          </w:r>
        </w:p>
        <w:p w14:paraId="04E4607F">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_Toc29588 </w:instrText>
          </w:r>
          <w:r>
            <w:rPr>
              <w:rFonts w:hint="eastAsia" w:ascii="宋体" w:hAnsi="宋体" w:eastAsia="宋体" w:cs="宋体"/>
              <w:szCs w:val="24"/>
            </w:rPr>
            <w:fldChar w:fldCharType="separate"/>
          </w:r>
          <w:r>
            <w:rPr>
              <w:rFonts w:hint="eastAsia" w:ascii="Times New Roman" w:hAnsi="Times New Roman" w:eastAsia="宋体"/>
              <w:szCs w:val="44"/>
              <w:highlight w:val="none"/>
            </w:rPr>
            <w:t>第四章 合同内容</w:t>
          </w:r>
          <w:r>
            <w:tab/>
          </w:r>
          <w:r>
            <w:fldChar w:fldCharType="begin"/>
          </w:r>
          <w:r>
            <w:instrText xml:space="preserve"> PAGEREF _Toc29588 \h </w:instrText>
          </w:r>
          <w:r>
            <w:fldChar w:fldCharType="separate"/>
          </w:r>
          <w:r>
            <w:t>23</w:t>
          </w:r>
          <w:r>
            <w:fldChar w:fldCharType="end"/>
          </w:r>
          <w:r>
            <w:rPr>
              <w:rFonts w:hint="eastAsia" w:ascii="宋体" w:hAnsi="宋体" w:eastAsia="宋体" w:cs="宋体"/>
              <w:color w:val="auto"/>
              <w:szCs w:val="24"/>
            </w:rPr>
            <w:fldChar w:fldCharType="end"/>
          </w:r>
        </w:p>
        <w:p w14:paraId="5099E27B">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_Toc16221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 xml:space="preserve">第五章 </w:t>
          </w:r>
          <w:r>
            <w:rPr>
              <w:rFonts w:hint="eastAsia" w:ascii="Times New Roman" w:hAnsi="Times New Roman" w:eastAsia="宋体"/>
              <w:szCs w:val="44"/>
              <w:highlight w:val="none"/>
            </w:rPr>
            <w:t>采购需求及清单</w:t>
          </w:r>
          <w:r>
            <w:tab/>
          </w:r>
          <w:r>
            <w:fldChar w:fldCharType="begin"/>
          </w:r>
          <w:r>
            <w:instrText xml:space="preserve"> PAGEREF _Toc16221 \h </w:instrText>
          </w:r>
          <w:r>
            <w:fldChar w:fldCharType="separate"/>
          </w:r>
          <w:r>
            <w:t>50</w:t>
          </w:r>
          <w:r>
            <w:fldChar w:fldCharType="end"/>
          </w:r>
          <w:r>
            <w:rPr>
              <w:rFonts w:hint="eastAsia" w:ascii="宋体" w:hAnsi="宋体" w:eastAsia="宋体" w:cs="宋体"/>
              <w:color w:val="auto"/>
              <w:szCs w:val="24"/>
            </w:rPr>
            <w:fldChar w:fldCharType="end"/>
          </w:r>
        </w:p>
        <w:p w14:paraId="041F8084">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_Toc3835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第六章 响应文件格式</w:t>
          </w:r>
          <w:r>
            <w:tab/>
          </w:r>
          <w:r>
            <w:fldChar w:fldCharType="begin"/>
          </w:r>
          <w:r>
            <w:instrText xml:space="preserve"> PAGEREF _Toc3835 \h </w:instrText>
          </w:r>
          <w:r>
            <w:fldChar w:fldCharType="separate"/>
          </w:r>
          <w:r>
            <w:t>51</w:t>
          </w:r>
          <w:r>
            <w:fldChar w:fldCharType="end"/>
          </w:r>
          <w:r>
            <w:rPr>
              <w:rFonts w:hint="eastAsia" w:ascii="宋体" w:hAnsi="宋体" w:eastAsia="宋体" w:cs="宋体"/>
              <w:color w:val="auto"/>
              <w:szCs w:val="24"/>
            </w:rPr>
            <w:fldChar w:fldCharType="end"/>
          </w:r>
        </w:p>
        <w:p w14:paraId="0B240408">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highlight w:val="red"/>
        </w:rPr>
      </w:pPr>
    </w:p>
    <w:p w14:paraId="6976B8AF">
      <w:pPr>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p>
    <w:p w14:paraId="2C5F1BC6">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bookmarkStart w:id="0" w:name="_Toc26033"/>
      <w:r>
        <w:rPr>
          <w:rFonts w:ascii="Times New Roman" w:hAnsi="Times New Roman" w:eastAsia="宋体" w:cs="Times New Roman"/>
          <w:color w:val="auto"/>
        </w:rPr>
        <w:t>采购公告</w:t>
      </w:r>
      <w:bookmarkEnd w:id="0"/>
    </w:p>
    <w:p w14:paraId="0408454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1" w:name="_Toc6496_WPSOffice_Level2"/>
      <w:bookmarkStart w:id="2" w:name="_Toc13871"/>
      <w:bookmarkStart w:id="3" w:name="_Toc12765"/>
      <w:bookmarkStart w:id="4" w:name="_Toc24354_WPSOffice_Level2"/>
      <w:bookmarkStart w:id="5" w:name="_Toc10395_WPSOffice_Level2"/>
      <w:bookmarkStart w:id="6" w:name="_Toc525632585"/>
      <w:bookmarkStart w:id="7" w:name="_Toc4489_WPSOffice_Level2"/>
      <w:r>
        <w:rPr>
          <w:rFonts w:hint="eastAsia" w:ascii="Times New Roman" w:hAnsi="Times New Roman" w:eastAsia="黑体" w:cs="Times New Roman"/>
          <w:b w:val="0"/>
          <w:bCs/>
          <w:color w:val="auto"/>
          <w:sz w:val="22"/>
          <w:szCs w:val="15"/>
          <w:highlight w:val="none"/>
          <w:lang w:val="en-US" w:eastAsia="zh-CN"/>
        </w:rPr>
        <w:t>1.</w:t>
      </w:r>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安徽省经工物资有限公司惠达洁具年度采购项目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本项目采购主体为安徽省经工物资有限公司。</w:t>
      </w:r>
    </w:p>
    <w:p w14:paraId="40B102F6">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eastAsia" w:ascii="Times New Roman" w:hAnsi="Times New Roman" w:eastAsia="宋体" w:cs="Times New Roman"/>
          <w:color w:val="auto"/>
          <w:sz w:val="21"/>
          <w:szCs w:val="21"/>
          <w:highlight w:val="yellow"/>
          <w:u w:val="single"/>
          <w:lang w:val="en-US" w:eastAsia="zh-CN"/>
        </w:rPr>
      </w:pPr>
      <w:r>
        <w:rPr>
          <w:rFonts w:hint="eastAsia" w:ascii="Times New Roman" w:hAnsi="Times New Roman" w:eastAsia="宋体" w:cs="Times New Roman"/>
          <w:color w:val="auto"/>
          <w:sz w:val="21"/>
          <w:szCs w:val="21"/>
          <w:highlight w:val="none"/>
          <w:u w:val="none"/>
          <w:lang w:val="en-US" w:eastAsia="zh-CN"/>
        </w:rPr>
        <w:t>1.3</w:t>
      </w:r>
      <w:r>
        <w:rPr>
          <w:rFonts w:hint="default" w:ascii="Times New Roman" w:hAnsi="Times New Roman" w:eastAsia="宋体" w:cs="Times New Roman"/>
          <w:color w:val="auto"/>
          <w:sz w:val="21"/>
          <w:szCs w:val="21"/>
          <w:highlight w:val="none"/>
        </w:rPr>
        <w:t xml:space="preserve"> 项目概况：</w:t>
      </w:r>
      <w:r>
        <w:rPr>
          <w:rFonts w:hint="default" w:ascii="Times New Roman" w:hAnsi="Times New Roman" w:eastAsia="宋体" w:cs="Times New Roman"/>
          <w:b/>
          <w:bCs/>
          <w:color w:val="auto"/>
          <w:sz w:val="21"/>
          <w:szCs w:val="21"/>
          <w:highlight w:val="none"/>
          <w:u w:val="single"/>
          <w:lang w:val="en-US" w:eastAsia="zh-CN"/>
        </w:rPr>
        <w:t>主要为</w:t>
      </w:r>
      <w:r>
        <w:rPr>
          <w:rFonts w:hint="eastAsia" w:ascii="Times New Roman" w:hAnsi="Times New Roman" w:eastAsia="宋体" w:cs="Times New Roman"/>
          <w:b/>
          <w:bCs/>
          <w:color w:val="auto"/>
          <w:sz w:val="21"/>
          <w:szCs w:val="21"/>
          <w:highlight w:val="none"/>
          <w:u w:val="single"/>
          <w:lang w:val="en-US" w:eastAsia="zh-CN"/>
        </w:rPr>
        <w:t>安徽省境内</w:t>
      </w:r>
      <w:r>
        <w:rPr>
          <w:rFonts w:hint="default" w:ascii="Times New Roman" w:hAnsi="Times New Roman" w:eastAsia="宋体" w:cs="Times New Roman"/>
          <w:b/>
          <w:bCs/>
          <w:color w:val="auto"/>
          <w:sz w:val="21"/>
          <w:szCs w:val="21"/>
          <w:highlight w:val="none"/>
          <w:u w:val="single"/>
          <w:lang w:val="en-US" w:eastAsia="zh-CN"/>
        </w:rPr>
        <w:t>酒店、学校、公寓楼、高速公路沿线服务区、收费站等房建工程</w:t>
      </w:r>
      <w:r>
        <w:rPr>
          <w:rFonts w:hint="eastAsia" w:ascii="Times New Roman" w:hAnsi="Times New Roman" w:eastAsia="宋体" w:cs="Times New Roman"/>
          <w:b/>
          <w:bCs/>
          <w:color w:val="auto"/>
          <w:sz w:val="21"/>
          <w:szCs w:val="21"/>
          <w:highlight w:val="none"/>
          <w:u w:val="single"/>
          <w:lang w:val="en-US" w:eastAsia="zh-CN"/>
        </w:rPr>
        <w:t>供应惠达洁具</w:t>
      </w:r>
      <w:r>
        <w:rPr>
          <w:rFonts w:hint="default" w:ascii="Times New Roman" w:hAnsi="Times New Roman" w:eastAsia="宋体" w:cs="Times New Roman"/>
          <w:b/>
          <w:bCs/>
          <w:color w:val="auto"/>
          <w:sz w:val="21"/>
          <w:szCs w:val="21"/>
          <w:highlight w:val="none"/>
          <w:u w:val="single"/>
          <w:lang w:val="en-US" w:eastAsia="zh-CN"/>
        </w:rPr>
        <w:t>。</w:t>
      </w:r>
      <w:r>
        <w:rPr>
          <w:rFonts w:hint="eastAsia" w:ascii="Times New Roman" w:hAnsi="Times New Roman" w:eastAsia="宋体" w:cs="Times New Roman"/>
          <w:b/>
          <w:bCs/>
          <w:color w:val="auto"/>
          <w:sz w:val="21"/>
          <w:szCs w:val="21"/>
          <w:highlight w:val="none"/>
          <w:u w:val="single"/>
          <w:lang w:val="en-US" w:eastAsia="zh-CN"/>
        </w:rPr>
        <w:t>对于部分高速公路沿线服务区、收费站、新建维修改造项目等，存在点多供应量少的情况；各项目供货前，需进行展厅内选样或送样至项目现场，供应商需结合项目特征、供应量、配送距离、运输时效、选送样等因素综合考虑报价。</w:t>
      </w:r>
    </w:p>
    <w:p w14:paraId="4C504C2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8" w:name="_Toc8128_WPSOffice_Level2"/>
      <w:bookmarkStart w:id="9" w:name="_Toc17858_WPSOffice_Level2"/>
      <w:bookmarkStart w:id="10" w:name="_Toc525632586"/>
      <w:bookmarkStart w:id="11" w:name="_Toc18367_WPSOffice_Level2"/>
      <w:bookmarkStart w:id="12" w:name="_Toc18453"/>
      <w:bookmarkStart w:id="13" w:name="_Toc23266_WPSOffice_Level2"/>
      <w:bookmarkStart w:id="14" w:name="_Toc10274"/>
      <w:r>
        <w:rPr>
          <w:rFonts w:hint="eastAsia" w:ascii="Times New Roman" w:hAnsi="Times New Roman" w:eastAsia="黑体" w:cs="Times New Roman"/>
          <w:b w:val="0"/>
          <w:bCs/>
          <w:color w:val="auto"/>
          <w:sz w:val="22"/>
          <w:szCs w:val="15"/>
          <w:highlight w:val="none"/>
          <w:lang w:val="en-US" w:eastAsia="zh-CN"/>
        </w:rPr>
        <w:t>2.</w:t>
      </w:r>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C69CAE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2.3 品牌范围：</w:t>
      </w:r>
      <w:r>
        <w:rPr>
          <w:rFonts w:hint="eastAsia" w:ascii="Times New Roman" w:hAnsi="Times New Roman" w:eastAsia="宋体" w:cs="Times New Roman"/>
          <w:color w:val="auto"/>
          <w:szCs w:val="21"/>
          <w:highlight w:val="none"/>
          <w:u w:val="single"/>
          <w:lang w:val="en-US" w:eastAsia="zh-CN"/>
        </w:rPr>
        <w:t xml:space="preserve"> 惠达。</w:t>
      </w:r>
    </w:p>
    <w:p w14:paraId="7FB7ADE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采购</w:t>
      </w:r>
      <w:r>
        <w:rPr>
          <w:rFonts w:hint="eastAsia" w:ascii="Times New Roman" w:hAnsi="Times New Roman" w:eastAsia="宋体"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u w:val="single"/>
          <w:lang w:val="en-US" w:eastAsia="zh-CN"/>
        </w:rPr>
        <w:t>安徽省经工物资有限公司</w:t>
      </w:r>
      <w:r>
        <w:rPr>
          <w:rFonts w:hint="eastAsia" w:ascii="Times New Roman" w:hAnsi="Times New Roman" w:eastAsia="宋体" w:cs="Times New Roman"/>
          <w:color w:val="auto"/>
          <w:szCs w:val="21"/>
          <w:highlight w:val="none"/>
          <w:u w:val="single"/>
          <w:lang w:val="en-US" w:eastAsia="zh-CN"/>
        </w:rPr>
        <w:t>惠达洁具年度采购，采购期1年</w:t>
      </w:r>
      <w:r>
        <w:rPr>
          <w:rFonts w:hint="default" w:ascii="Times New Roman" w:hAnsi="Times New Roman" w:eastAsia="宋体" w:cs="Times New Roman"/>
          <w:color w:val="auto"/>
          <w:szCs w:val="21"/>
          <w:highlight w:val="none"/>
          <w:u w:val="single"/>
          <w:lang w:val="en-US" w:eastAsia="zh-CN"/>
        </w:rPr>
        <w:t>。</w:t>
      </w:r>
    </w:p>
    <w:p w14:paraId="233CAE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eastAsia" w:ascii="Times New Roman" w:hAnsi="Times New Roman" w:eastAsia="宋体" w:cs="Times New Roman"/>
          <w:color w:val="auto"/>
          <w:szCs w:val="21"/>
          <w:highlight w:val="none"/>
          <w:u w:val="none"/>
          <w:lang w:val="en-US" w:eastAsia="zh-CN"/>
        </w:rPr>
        <w:t xml:space="preserve">。                          </w:t>
      </w:r>
    </w:p>
    <w:p w14:paraId="50171C33">
      <w:pPr>
        <w:pStyle w:val="8"/>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2.6采购限价：</w:t>
      </w:r>
      <w:r>
        <w:rPr>
          <w:rFonts w:hint="eastAsia" w:ascii="Times New Roman" w:hAnsi="Times New Roman" w:eastAsia="宋体" w:cs="Times New Roman"/>
          <w:color w:val="auto"/>
          <w:kern w:val="2"/>
          <w:sz w:val="21"/>
          <w:szCs w:val="21"/>
          <w:highlight w:val="none"/>
          <w:u w:val="single"/>
          <w:lang w:val="en-US" w:eastAsia="zh-CN" w:bidi="ar-SA"/>
        </w:rPr>
        <w:t>人民币279.8万元，各分项控制价见报价清单，响应单位总报价及单项报价若超过控制价，响应文件做无效处理</w:t>
      </w:r>
      <w:r>
        <w:rPr>
          <w:rFonts w:hint="eastAsia" w:ascii="Times New Roman" w:hAnsi="Times New Roman" w:eastAsia="宋体" w:cs="Times New Roman"/>
          <w:color w:val="auto"/>
          <w:kern w:val="2"/>
          <w:sz w:val="21"/>
          <w:szCs w:val="21"/>
          <w:highlight w:val="none"/>
          <w:u w:val="none"/>
          <w:lang w:val="en-US" w:eastAsia="zh-CN" w:bidi="ar-SA"/>
        </w:rPr>
        <w:t>。</w:t>
      </w:r>
    </w:p>
    <w:bookmarkEnd w:id="17"/>
    <w:p w14:paraId="345F7319">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bookmarkStart w:id="18" w:name="_Toc726"/>
      <w:bookmarkStart w:id="19" w:name="_Toc525632589"/>
      <w:r>
        <w:rPr>
          <w:rFonts w:hint="eastAsia" w:ascii="Times New Roman" w:hAnsi="Times New Roman" w:eastAsia="宋体" w:cs="Times New Roman"/>
          <w:color w:val="auto"/>
          <w:kern w:val="2"/>
          <w:sz w:val="21"/>
          <w:szCs w:val="21"/>
          <w:highlight w:val="yellow"/>
          <w:u w:val="single"/>
          <w:lang w:val="en-US" w:eastAsia="zh-CN" w:bidi="ar-SA"/>
        </w:rPr>
        <w:t xml:space="preserve">注：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p w14:paraId="52A285C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3.</w:t>
      </w:r>
      <w:r>
        <w:rPr>
          <w:rFonts w:hint="default" w:ascii="Times New Roman" w:hAnsi="Times New Roman" w:eastAsia="黑体" w:cs="Times New Roman"/>
          <w:b w:val="0"/>
          <w:bCs/>
          <w:color w:val="auto"/>
          <w:sz w:val="22"/>
          <w:szCs w:val="15"/>
          <w:highlight w:val="none"/>
          <w:lang w:val="en-US" w:eastAsia="zh-CN"/>
        </w:rPr>
        <w:t>供应商资格条件</w:t>
      </w:r>
    </w:p>
    <w:p w14:paraId="7E093591">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04934F44">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（1）资质最低要求：</w:t>
      </w:r>
    </w:p>
    <w:p w14:paraId="5BB552C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lang w:val="en-US" w:eastAsia="zh-CN"/>
        </w:rPr>
        <w:t>①</w:t>
      </w:r>
      <w:r>
        <w:rPr>
          <w:rFonts w:hint="eastAsia" w:ascii="Times New Roman" w:hAnsi="Times New Roman"/>
          <w:color w:val="auto"/>
          <w:sz w:val="21"/>
          <w:szCs w:val="22"/>
        </w:rPr>
        <w:t xml:space="preserve">具备独立法人资格，持有有效的营业执照。   </w:t>
      </w:r>
    </w:p>
    <w:p w14:paraId="545B83FE">
      <w:pPr>
        <w:numPr>
          <w:ilvl w:val="0"/>
          <w:numId w:val="0"/>
        </w:numPr>
        <w:snapToGrid w:val="0"/>
        <w:spacing w:beforeLines="0" w:afterLines="0" w:line="400" w:lineRule="exact"/>
        <w:ind w:firstLine="420" w:firstLineChars="200"/>
        <w:rPr>
          <w:rFonts w:hint="eastAsia" w:ascii="Times New Roman" w:hAnsi="Times New Roman"/>
          <w:color w:val="auto"/>
          <w:sz w:val="21"/>
          <w:szCs w:val="22"/>
          <w:lang w:eastAsia="zh-CN"/>
        </w:rPr>
      </w:pPr>
      <w:r>
        <w:rPr>
          <w:rFonts w:hint="eastAsia" w:ascii="Times New Roman" w:hAnsi="Times New Roman"/>
          <w:color w:val="auto"/>
          <w:sz w:val="21"/>
          <w:szCs w:val="22"/>
        </w:rPr>
        <w:t>②</w:t>
      </w:r>
      <w:r>
        <w:rPr>
          <w:rFonts w:hint="eastAsia" w:ascii="Times New Roman" w:hAnsi="Times New Roman"/>
          <w:color w:val="auto"/>
          <w:sz w:val="21"/>
          <w:szCs w:val="22"/>
          <w:lang w:eastAsia="zh-CN"/>
        </w:rPr>
        <w:t>制造商/厂家参与询比的，应具备有生产、销售采购人所需材料的能力；经销商/代理商参加询比的，应具备销售采购人所需材料的能力（</w:t>
      </w:r>
      <w:r>
        <w:rPr>
          <w:rFonts w:hint="eastAsia" w:ascii="Times New Roman" w:hAnsi="Times New Roman"/>
          <w:b/>
          <w:bCs/>
          <w:color w:val="auto"/>
          <w:sz w:val="21"/>
          <w:szCs w:val="22"/>
          <w:lang w:eastAsia="zh-CN"/>
        </w:rPr>
        <w:t>提供所投</w:t>
      </w:r>
      <w:r>
        <w:rPr>
          <w:rFonts w:hint="eastAsia" w:ascii="Times New Roman" w:hAnsi="Times New Roman"/>
          <w:b/>
          <w:bCs/>
          <w:color w:val="auto"/>
          <w:sz w:val="21"/>
          <w:szCs w:val="22"/>
          <w:lang w:val="en-US" w:eastAsia="zh-CN"/>
        </w:rPr>
        <w:t>品牌</w:t>
      </w:r>
      <w:r>
        <w:rPr>
          <w:rFonts w:hint="eastAsia" w:ascii="Times New Roman" w:hAnsi="Times New Roman"/>
          <w:b/>
          <w:bCs/>
          <w:color w:val="auto"/>
          <w:sz w:val="21"/>
          <w:szCs w:val="22"/>
          <w:lang w:eastAsia="zh-CN"/>
        </w:rPr>
        <w:t>产品业绩进行证明</w:t>
      </w:r>
      <w:r>
        <w:rPr>
          <w:rFonts w:hint="eastAsia" w:ascii="Times New Roman" w:hAnsi="Times New Roman"/>
          <w:color w:val="auto"/>
          <w:sz w:val="21"/>
          <w:szCs w:val="22"/>
          <w:lang w:eastAsia="zh-CN"/>
        </w:rPr>
        <w:t>）。</w:t>
      </w:r>
    </w:p>
    <w:p w14:paraId="31F34755">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（2）业绩要求：</w:t>
      </w:r>
    </w:p>
    <w:p w14:paraId="3536C233">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lang w:val="en-US" w:eastAsia="zh-CN"/>
        </w:rPr>
      </w:pPr>
      <w:r>
        <w:rPr>
          <w:rFonts w:hint="eastAsia" w:ascii="Times New Roman" w:hAnsi="Times New Roman"/>
          <w:color w:val="auto"/>
          <w:sz w:val="21"/>
          <w:szCs w:val="22"/>
          <w:highlight w:val="yellow"/>
          <w:lang w:val="en-US" w:eastAsia="zh-CN"/>
        </w:rPr>
        <w:t>提供2022年1月1日（以合同签订时间为准）以来，</w:t>
      </w:r>
      <w:r>
        <w:rPr>
          <w:rFonts w:hint="eastAsia" w:ascii="Times New Roman" w:hAnsi="Times New Roman"/>
          <w:b/>
          <w:bCs/>
          <w:color w:val="auto"/>
          <w:sz w:val="21"/>
          <w:szCs w:val="22"/>
          <w:highlight w:val="yellow"/>
          <w:lang w:val="en-US" w:eastAsia="zh-CN"/>
        </w:rPr>
        <w:t>任一年度内累计合同额</w:t>
      </w:r>
      <w:r>
        <w:rPr>
          <w:rFonts w:hint="eastAsia" w:ascii="Times New Roman" w:hAnsi="Times New Roman"/>
          <w:color w:val="auto"/>
          <w:sz w:val="21"/>
          <w:szCs w:val="22"/>
          <w:highlight w:val="yellow"/>
          <w:lang w:val="en-US" w:eastAsia="zh-CN"/>
        </w:rPr>
        <w:t>不低于50万的惠达洁具供应合同业绩，每个业绩至少提供不低于合同金额50%的增值税发票（或提供不低于资格审查要求业绩金额的增值税发票），未提供或提供发票金额不足的，该业绩无效。</w:t>
      </w:r>
    </w:p>
    <w:p w14:paraId="4716735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业绩证明材料要求：</w:t>
      </w:r>
    </w:p>
    <w:p w14:paraId="0D5E642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①合同协议书复印件；</w:t>
      </w:r>
    </w:p>
    <w:p w14:paraId="0119511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②若合同协议书中不能明确反映出采购文件所要求内容的（如合同金额、合同签订时间、供货内容等），则须提供业主单位（甲方）出具加盖公章的证明材料复印件。</w:t>
      </w:r>
    </w:p>
    <w:p w14:paraId="446BFB3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FF7C80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（3）信誉要求：</w:t>
      </w:r>
    </w:p>
    <w:p w14:paraId="5616E4FA">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①未被责令停业，暂扣或吊销执照，或吊销资质证书；</w:t>
      </w:r>
    </w:p>
    <w:p w14:paraId="729BF42F">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②未进入清算程序，或被宣告破产，或其他丧失履约能力的情形；</w:t>
      </w:r>
    </w:p>
    <w:p w14:paraId="40636F4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③在国家企业信用信息公示系统（www.gsxt.gov.cn）中未被列入严重违法失信企业名单；</w:t>
      </w:r>
    </w:p>
    <w:p w14:paraId="50C4ACF2">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④在“信用中国”网站（www.creditchina.gov.cn）中未被列入失信被执行人名单；</w:t>
      </w:r>
    </w:p>
    <w:p w14:paraId="3336E24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⑤在近三年内（自响应文件递交截止之日向前追溯3年）供应商或其法定代表人、拟委任的项目经理（如有）未有行贿犯罪行为。</w:t>
      </w:r>
    </w:p>
    <w:p w14:paraId="01CE7208">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⑥其他要求：  /  。</w:t>
      </w:r>
    </w:p>
    <w:p w14:paraId="3C38B5B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3.2 联合体：本次采购不接受联合体报价。</w:t>
      </w:r>
    </w:p>
    <w:p w14:paraId="0B9D6A2A">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none"/>
          <w:lang w:val="en-US" w:eastAsia="zh-CN"/>
        </w:rPr>
      </w:pPr>
      <w:r>
        <w:rPr>
          <w:rFonts w:hint="eastAsia" w:ascii="Times New Roman" w:hAnsi="Times New Roman"/>
          <w:color w:val="auto"/>
          <w:sz w:val="21"/>
          <w:szCs w:val="22"/>
        </w:rPr>
        <w:t>3.3 单位负责人为同一人或者存在控股、管理关系的不同单位，不得同时参加同一合同包报价，否则相关响应文件均无效。</w:t>
      </w:r>
    </w:p>
    <w:bookmarkEnd w:id="18"/>
    <w:bookmarkEnd w:id="19"/>
    <w:p w14:paraId="71855793">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20" w:name="_Toc25666_WPSOffice_Level2"/>
      <w:bookmarkStart w:id="21" w:name="_Toc29452_WPSOffice_Level2"/>
      <w:bookmarkStart w:id="22" w:name="_Toc2996_WPSOffice_Level2"/>
      <w:bookmarkStart w:id="23" w:name="_Toc4751"/>
      <w:bookmarkStart w:id="24" w:name="_Toc4109_WPSOffice_Level2"/>
      <w:bookmarkStart w:id="25" w:name="_Toc525632588"/>
      <w:bookmarkStart w:id="26" w:name="_Toc1994"/>
      <w:bookmarkStart w:id="27" w:name="_Toc525632591"/>
      <w:bookmarkStart w:id="28" w:name="_Toc22719"/>
      <w:r>
        <w:rPr>
          <w:rFonts w:hint="eastAsia" w:ascii="Times New Roman" w:hAnsi="Times New Roman" w:eastAsia="黑体" w:cs="Times New Roman"/>
          <w:b w:val="0"/>
          <w:bCs/>
          <w:color w:val="auto"/>
          <w:sz w:val="22"/>
          <w:szCs w:val="15"/>
          <w:highlight w:val="none"/>
          <w:lang w:val="en-US" w:eastAsia="zh-CN"/>
        </w:rPr>
        <w:t>4.</w:t>
      </w:r>
      <w:r>
        <w:rPr>
          <w:rFonts w:hint="default" w:ascii="Times New Roman" w:hAnsi="Times New Roman" w:eastAsia="黑体" w:cs="Times New Roman"/>
          <w:b w:val="0"/>
          <w:bCs/>
          <w:color w:val="auto"/>
          <w:sz w:val="22"/>
          <w:szCs w:val="15"/>
          <w:highlight w:val="none"/>
          <w:lang w:val="en-US" w:eastAsia="zh-CN"/>
        </w:rPr>
        <w:t>询比文件的获取</w:t>
      </w:r>
      <w:bookmarkEnd w:id="20"/>
      <w:bookmarkEnd w:id="21"/>
      <w:bookmarkEnd w:id="22"/>
      <w:bookmarkEnd w:id="23"/>
      <w:bookmarkEnd w:id="24"/>
      <w:bookmarkEnd w:id="25"/>
      <w:bookmarkEnd w:id="26"/>
    </w:p>
    <w:p w14:paraId="5A76410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了解项目信息、下载询价文件及其他资料（含澄清、答疑及相关补充文件）。咨询电话：0551-62265211。采购人不再另行书面通知，供应商应及时关注、查阅。因未及时查看导致不利后果的，责任自负。</w:t>
      </w:r>
    </w:p>
    <w:p w14:paraId="05B009D6">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5.</w:t>
      </w:r>
      <w:r>
        <w:rPr>
          <w:rFonts w:hint="default" w:ascii="Times New Roman" w:hAnsi="Times New Roman" w:eastAsia="黑体" w:cs="Times New Roman"/>
          <w:b w:val="0"/>
          <w:bCs/>
          <w:color w:val="auto"/>
          <w:sz w:val="22"/>
          <w:szCs w:val="15"/>
          <w:highlight w:val="none"/>
          <w:lang w:val="en-US" w:eastAsia="zh-CN"/>
        </w:rPr>
        <w:t>响应文件的递交</w:t>
      </w:r>
    </w:p>
    <w:p w14:paraId="13C36A65">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color w:val="auto"/>
          <w:kern w:val="0"/>
          <w:sz w:val="21"/>
          <w:szCs w:val="21"/>
          <w:highlight w:val="none"/>
          <w:u w:val="single"/>
          <w:lang w:val="en-US" w:eastAsia="zh-CN" w:bidi="ar-SA"/>
        </w:rPr>
        <w:t xml:space="preserve"> </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9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auto"/>
          <w:kern w:val="2"/>
          <w:sz w:val="21"/>
          <w:szCs w:val="21"/>
          <w:highlight w:val="none"/>
          <w:lang w:val="en-US" w:eastAsia="zh-CN" w:bidi="ar-SA"/>
        </w:rPr>
        <w:t>。</w:t>
      </w:r>
    </w:p>
    <w:p w14:paraId="31A21F31">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6.</w:t>
      </w:r>
      <w:r>
        <w:rPr>
          <w:rFonts w:hint="default" w:ascii="Times New Roman" w:hAnsi="Times New Roman" w:eastAsia="黑体" w:cs="Times New Roman"/>
          <w:b w:val="0"/>
          <w:bCs/>
          <w:color w:val="auto"/>
          <w:sz w:val="22"/>
          <w:szCs w:val="15"/>
          <w:highlight w:val="none"/>
          <w:lang w:val="en-US" w:eastAsia="zh-CN"/>
        </w:rPr>
        <w:t>响应文件启封</w:t>
      </w:r>
    </w:p>
    <w:p w14:paraId="4C4ED0F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b/>
          <w:bCs/>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7.</w:t>
      </w: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5E9F5F5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2000元（大写：贰仟元整）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yellow"/>
          <w:lang w:val="en-US" w:eastAsia="zh-CN" w:bidi="ar"/>
        </w:rPr>
      </w:pPr>
      <w:r>
        <w:rPr>
          <w:rFonts w:hint="eastAsia" w:ascii="宋体" w:hAnsi="宋体" w:eastAsia="宋体" w:cs="宋体"/>
          <w:b/>
          <w:bCs/>
          <w:color w:val="auto"/>
          <w:kern w:val="2"/>
          <w:sz w:val="21"/>
          <w:szCs w:val="21"/>
          <w:highlight w:val="yellow"/>
          <w:lang w:val="en-US" w:eastAsia="zh-CN" w:bidi="ar"/>
        </w:rPr>
        <w:t>付款备注：惠达洁具响应保证金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宋体" w:hAnsi="宋体" w:cs="宋体"/>
          <w:color w:val="auto"/>
          <w:sz w:val="21"/>
          <w:szCs w:val="21"/>
          <w:lang w:bidi="ar"/>
        </w:rPr>
      </w:pPr>
      <w:r>
        <w:rPr>
          <w:rFonts w:hint="eastAsia" w:ascii="宋体" w:hAnsi="宋体" w:cs="宋体"/>
          <w:color w:val="auto"/>
          <w:sz w:val="21"/>
          <w:szCs w:val="21"/>
          <w:lang w:bidi="ar"/>
        </w:rPr>
        <w:t>②供应商账户汇入到上述账户，采购人不接受以个人名义或以现金形式提交的响应保证金。</w:t>
      </w:r>
    </w:p>
    <w:p w14:paraId="14E17961">
      <w:pPr>
        <w:spacing w:beforeLines="0" w:afterLines="0" w:line="440" w:lineRule="exact"/>
        <w:ind w:firstLine="420"/>
        <w:rPr>
          <w:rFonts w:hint="eastAsia" w:ascii="宋体" w:hAnsi="宋体" w:cs="宋体"/>
          <w:color w:val="auto"/>
          <w:sz w:val="21"/>
          <w:szCs w:val="21"/>
          <w:highlight w:val="yellow"/>
          <w:lang w:val="en-US" w:eastAsia="zh-CN" w:bidi="ar"/>
        </w:rPr>
      </w:pPr>
      <w:r>
        <w:rPr>
          <w:rFonts w:hint="eastAsia" w:ascii="宋体" w:hAnsi="宋体" w:cs="宋体"/>
          <w:color w:val="auto"/>
          <w:sz w:val="21"/>
          <w:szCs w:val="21"/>
          <w:highlight w:val="yellow"/>
          <w:lang w:val="en-US" w:eastAsia="zh-CN" w:bidi="ar"/>
        </w:rPr>
        <w:t>（2）成交候选人</w:t>
      </w:r>
      <w:r>
        <w:rPr>
          <w:rFonts w:hint="eastAsia" w:ascii="宋体" w:hAnsi="宋体" w:cs="宋体"/>
          <w:color w:val="auto"/>
          <w:sz w:val="21"/>
          <w:szCs w:val="21"/>
          <w:highlight w:val="yellow"/>
          <w:lang w:eastAsia="zh-CN" w:bidi="ar"/>
        </w:rPr>
        <w:t>公示后，</w:t>
      </w:r>
      <w:r>
        <w:rPr>
          <w:rFonts w:hint="eastAsia" w:ascii="宋体" w:hAnsi="宋体" w:cs="宋体"/>
          <w:color w:val="auto"/>
          <w:sz w:val="21"/>
          <w:szCs w:val="21"/>
          <w:highlight w:val="yellow"/>
          <w:lang w:val="en-US" w:eastAsia="zh-CN" w:bidi="ar"/>
        </w:rPr>
        <w:t>在框架协议签订前，主供应单位需向甲方支付5万元履约保证金或5万元见索即付银行保函，备选供应单位需向甲方支付具体项目合同总价2%的履约保证金或提供合同总价5%的见索即付银行保函。</w:t>
      </w:r>
    </w:p>
    <w:p w14:paraId="110D2E1A">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8.</w:t>
      </w: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26829"/>
      <w:bookmarkStart w:id="30" w:name="_Toc8501"/>
      <w:bookmarkStart w:id="31" w:name="_Toc321_WPSOffice_Level2"/>
      <w:bookmarkStart w:id="32" w:name="_Toc14943_WPSOffice_Level2"/>
      <w:bookmarkStart w:id="33" w:name="_Toc20572_WPSOffice_Level2"/>
      <w:bookmarkStart w:id="34" w:name="_Toc525632592"/>
      <w:bookmarkStart w:id="35" w:name="_Toc28571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”（网址www.ahjggroup.com）“招标公告”栏目中发布。</w:t>
      </w:r>
    </w:p>
    <w:p w14:paraId="1B57102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9.</w:t>
      </w: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433609CD">
      <w:pPr>
        <w:pStyle w:val="9"/>
        <w:rPr>
          <w:rFonts w:hint="eastAsia" w:ascii="宋体" w:hAnsi="宋体" w:eastAsia="宋体" w:cs="宋体"/>
          <w:color w:val="auto"/>
          <w:sz w:val="21"/>
          <w:szCs w:val="21"/>
          <w:highlight w:val="none"/>
          <w:u w:val="single"/>
          <w:lang w:val="en-US" w:eastAsia="zh-CN"/>
        </w:rPr>
      </w:pPr>
    </w:p>
    <w:p w14:paraId="3ED944E3">
      <w:pPr>
        <w:pStyle w:val="10"/>
        <w:rPr>
          <w:rFonts w:hint="eastAsia" w:ascii="宋体" w:hAnsi="宋体" w:eastAsia="宋体" w:cs="宋体"/>
          <w:color w:val="auto"/>
          <w:sz w:val="21"/>
          <w:szCs w:val="21"/>
          <w:highlight w:val="none"/>
          <w:u w:val="single"/>
          <w:lang w:val="en-US" w:eastAsia="zh-CN"/>
        </w:rPr>
      </w:pPr>
    </w:p>
    <w:p w14:paraId="45F6118C">
      <w:pPr>
        <w:rPr>
          <w:rFonts w:hint="eastAsia" w:ascii="宋体" w:hAnsi="宋体" w:eastAsia="宋体" w:cs="宋体"/>
          <w:color w:val="auto"/>
          <w:sz w:val="21"/>
          <w:szCs w:val="21"/>
          <w:highlight w:val="none"/>
          <w:u w:val="single"/>
          <w:lang w:val="en-US" w:eastAsia="zh-CN"/>
        </w:rPr>
      </w:pPr>
    </w:p>
    <w:p w14:paraId="522A74D7">
      <w:pPr>
        <w:rPr>
          <w:rFonts w:hint="eastAsia" w:ascii="宋体" w:hAnsi="宋体" w:eastAsia="宋体" w:cs="宋体"/>
          <w:color w:val="auto"/>
          <w:sz w:val="21"/>
          <w:szCs w:val="21"/>
          <w:highlight w:val="none"/>
          <w:u w:val="single"/>
          <w:lang w:val="en-US" w:eastAsia="zh-CN"/>
        </w:rPr>
      </w:pPr>
    </w:p>
    <w:p w14:paraId="2DC39139">
      <w:pPr>
        <w:rPr>
          <w:rFonts w:hint="eastAsia" w:ascii="宋体" w:hAnsi="宋体" w:eastAsia="宋体" w:cs="宋体"/>
          <w:color w:val="auto"/>
          <w:sz w:val="21"/>
          <w:szCs w:val="21"/>
          <w:highlight w:val="none"/>
          <w:u w:val="single"/>
          <w:lang w:val="en-US" w:eastAsia="zh-CN"/>
        </w:rPr>
      </w:pPr>
    </w:p>
    <w:p w14:paraId="01141519">
      <w:pPr>
        <w:rPr>
          <w:rFonts w:hint="eastAsia" w:ascii="宋体" w:hAnsi="宋体" w:eastAsia="宋体" w:cs="宋体"/>
          <w:color w:val="auto"/>
          <w:sz w:val="21"/>
          <w:szCs w:val="21"/>
          <w:highlight w:val="none"/>
          <w:u w:val="single"/>
          <w:lang w:val="en-US" w:eastAsia="zh-CN"/>
        </w:rPr>
      </w:pPr>
    </w:p>
    <w:p w14:paraId="27915EB4">
      <w:pPr>
        <w:rPr>
          <w:rFonts w:hint="eastAsia" w:ascii="宋体" w:hAnsi="宋体" w:eastAsia="宋体" w:cs="宋体"/>
          <w:color w:val="auto"/>
          <w:sz w:val="21"/>
          <w:szCs w:val="21"/>
          <w:highlight w:val="none"/>
          <w:u w:val="single"/>
          <w:lang w:val="en-US" w:eastAsia="zh-CN"/>
        </w:rPr>
      </w:pPr>
    </w:p>
    <w:p w14:paraId="6CB316B5">
      <w:pPr>
        <w:rPr>
          <w:rFonts w:hint="eastAsia" w:ascii="宋体" w:hAnsi="宋体" w:eastAsia="宋体" w:cs="宋体"/>
          <w:color w:val="auto"/>
          <w:sz w:val="21"/>
          <w:szCs w:val="21"/>
          <w:highlight w:val="none"/>
          <w:u w:val="single"/>
          <w:lang w:val="en-US" w:eastAsia="zh-CN"/>
        </w:rPr>
      </w:pPr>
    </w:p>
    <w:p w14:paraId="23FBD357">
      <w:pPr>
        <w:rPr>
          <w:rFonts w:hint="eastAsia" w:ascii="宋体" w:hAnsi="宋体" w:eastAsia="宋体" w:cs="宋体"/>
          <w:color w:val="auto"/>
          <w:sz w:val="21"/>
          <w:szCs w:val="21"/>
          <w:highlight w:val="none"/>
          <w:u w:val="single"/>
          <w:lang w:val="en-US" w:eastAsia="zh-CN"/>
        </w:rPr>
      </w:pPr>
    </w:p>
    <w:p w14:paraId="08CA1693">
      <w:pPr>
        <w:rPr>
          <w:rFonts w:hint="eastAsia" w:ascii="宋体" w:hAnsi="宋体" w:eastAsia="宋体" w:cs="宋体"/>
          <w:color w:val="auto"/>
          <w:sz w:val="21"/>
          <w:szCs w:val="21"/>
          <w:highlight w:val="none"/>
          <w:u w:val="single"/>
          <w:lang w:val="en-US" w:eastAsia="zh-CN"/>
        </w:rPr>
      </w:pPr>
    </w:p>
    <w:p w14:paraId="7148F299">
      <w:pPr>
        <w:rPr>
          <w:rFonts w:hint="eastAsia" w:ascii="宋体" w:hAnsi="宋体" w:eastAsia="宋体" w:cs="宋体"/>
          <w:color w:val="auto"/>
          <w:sz w:val="21"/>
          <w:szCs w:val="21"/>
          <w:highlight w:val="none"/>
          <w:u w:val="single"/>
          <w:lang w:val="en-US" w:eastAsia="zh-CN"/>
        </w:rPr>
      </w:pPr>
    </w:p>
    <w:p w14:paraId="42CDF98D">
      <w:pPr>
        <w:rPr>
          <w:rFonts w:hint="eastAsia" w:ascii="宋体" w:hAnsi="宋体" w:eastAsia="宋体" w:cs="宋体"/>
          <w:color w:val="auto"/>
          <w:sz w:val="21"/>
          <w:szCs w:val="21"/>
          <w:highlight w:val="none"/>
          <w:u w:val="single"/>
          <w:lang w:val="en-US" w:eastAsia="zh-CN"/>
        </w:rPr>
      </w:pPr>
    </w:p>
    <w:p w14:paraId="6A807D7F">
      <w:pPr>
        <w:rPr>
          <w:rFonts w:hint="eastAsia" w:ascii="宋体" w:hAnsi="宋体" w:eastAsia="宋体" w:cs="宋体"/>
          <w:color w:val="auto"/>
          <w:sz w:val="21"/>
          <w:szCs w:val="21"/>
          <w:highlight w:val="none"/>
          <w:u w:val="single"/>
          <w:lang w:val="en-US" w:eastAsia="zh-CN"/>
        </w:rPr>
      </w:pPr>
    </w:p>
    <w:p w14:paraId="0C6AB494">
      <w:pPr>
        <w:rPr>
          <w:rFonts w:hint="eastAsia" w:ascii="宋体" w:hAnsi="宋体" w:eastAsia="宋体" w:cs="宋体"/>
          <w:color w:val="auto"/>
          <w:sz w:val="21"/>
          <w:szCs w:val="21"/>
          <w:highlight w:val="none"/>
          <w:u w:val="single"/>
          <w:lang w:val="en-US" w:eastAsia="zh-CN"/>
        </w:rPr>
      </w:pPr>
    </w:p>
    <w:p w14:paraId="1C213C05">
      <w:pPr>
        <w:rPr>
          <w:rFonts w:hint="eastAsia" w:ascii="宋体" w:hAnsi="宋体" w:eastAsia="宋体" w:cs="宋体"/>
          <w:color w:val="auto"/>
          <w:sz w:val="21"/>
          <w:szCs w:val="21"/>
          <w:highlight w:val="none"/>
          <w:u w:val="single"/>
          <w:lang w:val="en-US" w:eastAsia="zh-CN"/>
        </w:rPr>
      </w:pPr>
    </w:p>
    <w:p w14:paraId="61CC45A0">
      <w:pPr>
        <w:rPr>
          <w:rFonts w:hint="eastAsia" w:ascii="宋体" w:hAnsi="宋体" w:eastAsia="宋体" w:cs="宋体"/>
          <w:color w:val="auto"/>
          <w:sz w:val="21"/>
          <w:szCs w:val="21"/>
          <w:highlight w:val="none"/>
          <w:u w:val="single"/>
          <w:lang w:val="en-US" w:eastAsia="zh-CN"/>
        </w:rPr>
      </w:pPr>
    </w:p>
    <w:p w14:paraId="6FF5434B">
      <w:pPr>
        <w:rPr>
          <w:rFonts w:hint="eastAsia" w:ascii="宋体" w:hAnsi="宋体" w:eastAsia="宋体" w:cs="宋体"/>
          <w:color w:val="auto"/>
          <w:sz w:val="21"/>
          <w:szCs w:val="21"/>
          <w:highlight w:val="none"/>
          <w:u w:val="single"/>
          <w:lang w:val="en-US" w:eastAsia="zh-CN"/>
        </w:rPr>
      </w:pPr>
    </w:p>
    <w:p w14:paraId="6500724C">
      <w:pPr>
        <w:rPr>
          <w:rFonts w:hint="eastAsia" w:ascii="宋体" w:hAnsi="宋体" w:eastAsia="宋体" w:cs="宋体"/>
          <w:color w:val="auto"/>
          <w:sz w:val="21"/>
          <w:szCs w:val="21"/>
          <w:highlight w:val="none"/>
          <w:u w:val="single"/>
          <w:lang w:val="en-US" w:eastAsia="zh-CN"/>
        </w:rPr>
      </w:pPr>
    </w:p>
    <w:p w14:paraId="31299D47">
      <w:pPr>
        <w:rPr>
          <w:rFonts w:hint="eastAsia" w:ascii="宋体" w:hAnsi="宋体" w:eastAsia="宋体" w:cs="宋体"/>
          <w:color w:val="auto"/>
          <w:sz w:val="21"/>
          <w:szCs w:val="21"/>
          <w:highlight w:val="none"/>
          <w:u w:val="single"/>
          <w:lang w:val="en-US" w:eastAsia="zh-CN"/>
        </w:rPr>
      </w:pPr>
    </w:p>
    <w:p w14:paraId="2E0C2932">
      <w:pPr>
        <w:rPr>
          <w:rFonts w:hint="eastAsia" w:ascii="宋体" w:hAnsi="宋体" w:eastAsia="宋体" w:cs="宋体"/>
          <w:color w:val="auto"/>
          <w:sz w:val="21"/>
          <w:szCs w:val="21"/>
          <w:highlight w:val="none"/>
          <w:u w:val="single"/>
          <w:lang w:val="en-US" w:eastAsia="zh-CN"/>
        </w:rPr>
      </w:pPr>
    </w:p>
    <w:p w14:paraId="1ECABC73">
      <w:pPr>
        <w:rPr>
          <w:rFonts w:hint="eastAsia" w:ascii="宋体" w:hAnsi="宋体" w:eastAsia="宋体" w:cs="宋体"/>
          <w:color w:val="auto"/>
          <w:sz w:val="21"/>
          <w:szCs w:val="21"/>
          <w:highlight w:val="none"/>
          <w:u w:val="single"/>
          <w:lang w:val="en-US" w:eastAsia="zh-CN"/>
        </w:rPr>
      </w:pPr>
    </w:p>
    <w:p w14:paraId="6DA7A2F8">
      <w:pPr>
        <w:rPr>
          <w:rFonts w:hint="eastAsia" w:ascii="宋体" w:hAnsi="宋体" w:eastAsia="宋体" w:cs="宋体"/>
          <w:color w:val="auto"/>
          <w:sz w:val="21"/>
          <w:szCs w:val="21"/>
          <w:highlight w:val="none"/>
          <w:u w:val="single"/>
          <w:lang w:val="en-US" w:eastAsia="zh-CN"/>
        </w:rPr>
      </w:pPr>
    </w:p>
    <w:p w14:paraId="073EFBD6">
      <w:pPr>
        <w:rPr>
          <w:rFonts w:hint="eastAsia" w:ascii="宋体" w:hAnsi="宋体" w:eastAsia="宋体" w:cs="宋体"/>
          <w:color w:val="auto"/>
          <w:sz w:val="21"/>
          <w:szCs w:val="21"/>
          <w:highlight w:val="none"/>
          <w:u w:val="single"/>
          <w:lang w:val="en-US" w:eastAsia="zh-CN"/>
        </w:rPr>
      </w:pPr>
    </w:p>
    <w:p w14:paraId="593E7049">
      <w:pPr>
        <w:rPr>
          <w:rFonts w:hint="eastAsia" w:ascii="宋体" w:hAnsi="宋体" w:eastAsia="宋体" w:cs="宋体"/>
          <w:color w:val="auto"/>
          <w:sz w:val="21"/>
          <w:szCs w:val="21"/>
          <w:highlight w:val="none"/>
          <w:u w:val="single"/>
          <w:lang w:val="en-US" w:eastAsia="zh-CN"/>
        </w:rPr>
      </w:pPr>
    </w:p>
    <w:p w14:paraId="47393EC3">
      <w:pPr>
        <w:rPr>
          <w:rFonts w:hint="eastAsia" w:ascii="宋体" w:hAnsi="宋体" w:eastAsia="宋体" w:cs="宋体"/>
          <w:color w:val="auto"/>
          <w:sz w:val="21"/>
          <w:szCs w:val="21"/>
          <w:highlight w:val="none"/>
          <w:u w:val="single"/>
          <w:lang w:val="en-US" w:eastAsia="zh-CN"/>
        </w:rPr>
      </w:pPr>
    </w:p>
    <w:p w14:paraId="4F4AB36F">
      <w:pPr>
        <w:rPr>
          <w:rFonts w:hint="eastAsia" w:ascii="宋体" w:hAnsi="宋体" w:eastAsia="宋体" w:cs="宋体"/>
          <w:color w:val="auto"/>
          <w:sz w:val="21"/>
          <w:szCs w:val="21"/>
          <w:highlight w:val="none"/>
          <w:u w:val="single"/>
          <w:lang w:val="en-US" w:eastAsia="zh-CN"/>
        </w:rPr>
      </w:pPr>
    </w:p>
    <w:p w14:paraId="3E509EF2">
      <w:pPr>
        <w:rPr>
          <w:rFonts w:hint="eastAsia" w:ascii="宋体" w:hAnsi="宋体" w:eastAsia="宋体" w:cs="宋体"/>
          <w:color w:val="auto"/>
          <w:sz w:val="21"/>
          <w:szCs w:val="21"/>
          <w:highlight w:val="none"/>
          <w:u w:val="single"/>
          <w:lang w:val="en-US" w:eastAsia="zh-CN"/>
        </w:rPr>
      </w:pPr>
    </w:p>
    <w:p w14:paraId="293EB54F">
      <w:pPr>
        <w:rPr>
          <w:rFonts w:hint="eastAsia" w:ascii="宋体" w:hAnsi="宋体" w:eastAsia="宋体" w:cs="宋体"/>
          <w:color w:val="auto"/>
          <w:sz w:val="21"/>
          <w:szCs w:val="21"/>
          <w:highlight w:val="none"/>
          <w:u w:val="single"/>
          <w:lang w:val="en-US" w:eastAsia="zh-CN"/>
        </w:rPr>
      </w:pPr>
    </w:p>
    <w:p w14:paraId="45827880">
      <w:pPr>
        <w:rPr>
          <w:rFonts w:hint="eastAsia" w:ascii="宋体" w:hAnsi="宋体" w:eastAsia="宋体" w:cs="宋体"/>
          <w:color w:val="auto"/>
          <w:sz w:val="21"/>
          <w:szCs w:val="21"/>
          <w:highlight w:val="none"/>
          <w:u w:val="single"/>
          <w:lang w:val="en-US" w:eastAsia="zh-CN"/>
        </w:rPr>
      </w:pPr>
    </w:p>
    <w:p w14:paraId="391B846C">
      <w:pPr>
        <w:rPr>
          <w:rFonts w:hint="eastAsia" w:ascii="宋体" w:hAnsi="宋体" w:eastAsia="宋体" w:cs="宋体"/>
          <w:color w:val="auto"/>
          <w:sz w:val="21"/>
          <w:szCs w:val="21"/>
          <w:highlight w:val="none"/>
          <w:u w:val="single"/>
          <w:lang w:val="en-US" w:eastAsia="zh-CN"/>
        </w:rPr>
      </w:pPr>
    </w:p>
    <w:p w14:paraId="640C10DA">
      <w:pPr>
        <w:rPr>
          <w:rFonts w:hint="eastAsia" w:ascii="宋体" w:hAnsi="宋体" w:eastAsia="宋体" w:cs="宋体"/>
          <w:color w:val="auto"/>
          <w:sz w:val="21"/>
          <w:szCs w:val="21"/>
          <w:highlight w:val="none"/>
          <w:u w:val="single"/>
          <w:lang w:val="en-US" w:eastAsia="zh-CN"/>
        </w:rPr>
      </w:pPr>
    </w:p>
    <w:p w14:paraId="57AF702B">
      <w:pPr>
        <w:rPr>
          <w:rFonts w:hint="eastAsia" w:ascii="宋体" w:hAnsi="宋体" w:eastAsia="宋体" w:cs="宋体"/>
          <w:color w:val="auto"/>
          <w:sz w:val="21"/>
          <w:szCs w:val="21"/>
          <w:highlight w:val="none"/>
          <w:u w:val="single"/>
          <w:lang w:val="en-US" w:eastAsia="zh-CN"/>
        </w:rPr>
      </w:pPr>
    </w:p>
    <w:p w14:paraId="22A1FF35">
      <w:pPr>
        <w:rPr>
          <w:rFonts w:hint="eastAsia" w:ascii="宋体" w:hAnsi="宋体" w:eastAsia="宋体" w:cs="宋体"/>
          <w:color w:val="auto"/>
          <w:sz w:val="21"/>
          <w:szCs w:val="21"/>
          <w:highlight w:val="none"/>
          <w:u w:val="single"/>
          <w:lang w:val="en-US" w:eastAsia="zh-CN"/>
        </w:rPr>
      </w:pPr>
    </w:p>
    <w:p w14:paraId="6193CA9F">
      <w:pPr>
        <w:rPr>
          <w:rFonts w:hint="eastAsia" w:ascii="宋体" w:hAnsi="宋体" w:eastAsia="宋体" w:cs="宋体"/>
          <w:color w:val="auto"/>
          <w:sz w:val="21"/>
          <w:szCs w:val="21"/>
          <w:highlight w:val="none"/>
          <w:u w:val="single"/>
          <w:lang w:val="en-US" w:eastAsia="zh-CN"/>
        </w:rPr>
      </w:pPr>
    </w:p>
    <w:p w14:paraId="52412728">
      <w:pPr>
        <w:rPr>
          <w:rFonts w:hint="eastAsia" w:ascii="宋体" w:hAnsi="宋体" w:eastAsia="宋体" w:cs="宋体"/>
          <w:color w:val="auto"/>
          <w:sz w:val="21"/>
          <w:szCs w:val="21"/>
          <w:highlight w:val="none"/>
          <w:u w:val="single"/>
          <w:lang w:val="en-US" w:eastAsia="zh-CN"/>
        </w:rPr>
      </w:pPr>
    </w:p>
    <w:p w14:paraId="5DB8045A">
      <w:pPr>
        <w:rPr>
          <w:rFonts w:hint="eastAsia" w:ascii="宋体" w:hAnsi="宋体" w:eastAsia="宋体" w:cs="宋体"/>
          <w:color w:val="auto"/>
          <w:sz w:val="21"/>
          <w:szCs w:val="21"/>
          <w:highlight w:val="none"/>
          <w:u w:val="single"/>
          <w:lang w:val="en-US" w:eastAsia="zh-CN"/>
        </w:rPr>
      </w:pPr>
    </w:p>
    <w:p w14:paraId="59070338">
      <w:pPr>
        <w:rPr>
          <w:rFonts w:hint="eastAsia" w:ascii="宋体" w:hAnsi="宋体" w:eastAsia="宋体" w:cs="宋体"/>
          <w:color w:val="auto"/>
          <w:sz w:val="21"/>
          <w:szCs w:val="21"/>
          <w:highlight w:val="none"/>
          <w:u w:val="single"/>
          <w:lang w:val="en-US" w:eastAsia="zh-CN"/>
        </w:rPr>
      </w:pPr>
    </w:p>
    <w:p w14:paraId="43D9AD41">
      <w:pPr>
        <w:rPr>
          <w:rFonts w:hint="eastAsia" w:ascii="宋体" w:hAnsi="宋体" w:eastAsia="宋体" w:cs="宋体"/>
          <w:color w:val="auto"/>
          <w:sz w:val="21"/>
          <w:szCs w:val="21"/>
          <w:highlight w:val="none"/>
          <w:u w:val="single"/>
          <w:lang w:val="en-US" w:eastAsia="zh-CN"/>
        </w:rPr>
      </w:pPr>
    </w:p>
    <w:p w14:paraId="3DF939BE">
      <w:pPr>
        <w:pStyle w:val="2"/>
        <w:spacing w:before="312" w:after="312"/>
        <w:ind w:firstLine="0"/>
        <w:rPr>
          <w:rFonts w:hint="default" w:ascii="Times New Roman" w:hAnsi="Times New Roman" w:eastAsia="宋体"/>
          <w:color w:val="auto"/>
          <w:sz w:val="36"/>
          <w:szCs w:val="44"/>
        </w:rPr>
      </w:pPr>
      <w:r>
        <w:rPr>
          <w:rFonts w:hint="eastAsia" w:ascii="宋体" w:hAnsi="宋体" w:eastAsia="宋体" w:cs="宋体"/>
          <w:color w:val="auto"/>
          <w:sz w:val="21"/>
          <w:szCs w:val="21"/>
          <w:highlight w:val="none"/>
        </w:rPr>
        <w:t xml:space="preserve"> </w:t>
      </w:r>
      <w:bookmarkStart w:id="36" w:name="_Toc3435"/>
      <w:bookmarkStart w:id="37" w:name="_Toc19483"/>
      <w:bookmarkStart w:id="38" w:name="_Toc26656938"/>
      <w:bookmarkStart w:id="39" w:name="_Toc9067720"/>
      <w:bookmarkStart w:id="40" w:name="_Toc14201207"/>
      <w:r>
        <w:rPr>
          <w:rFonts w:hint="eastAsia" w:ascii="Times New Roman" w:hAnsi="Times New Roman" w:eastAsia="宋体"/>
          <w:color w:val="auto"/>
          <w:sz w:val="36"/>
          <w:szCs w:val="44"/>
        </w:rPr>
        <w:t>供应商须知</w:t>
      </w:r>
      <w:bookmarkEnd w:id="36"/>
      <w:bookmarkEnd w:id="37"/>
    </w:p>
    <w:p w14:paraId="28F7ECF6">
      <w:pPr>
        <w:spacing w:beforeLines="0" w:afterLines="0" w:line="440" w:lineRule="exact"/>
        <w:jc w:val="center"/>
        <w:outlineLvl w:val="1"/>
        <w:rPr>
          <w:rFonts w:hint="default" w:ascii="Times New Roman" w:hAnsi="Times New Roman" w:eastAsia="黑体"/>
          <w:color w:val="auto"/>
          <w:sz w:val="28"/>
          <w:szCs w:val="28"/>
        </w:rPr>
      </w:pPr>
      <w:bookmarkStart w:id="41" w:name="_Toc19501"/>
      <w:bookmarkStart w:id="42" w:name="_Toc26656928"/>
      <w:bookmarkStart w:id="43" w:name="_Toc29381_WPSOffice_Level2"/>
      <w:bookmarkStart w:id="44" w:name="_Toc16069"/>
      <w:bookmarkStart w:id="45" w:name="_Toc55466811"/>
      <w:r>
        <w:rPr>
          <w:rFonts w:hint="eastAsia" w:ascii="Times New Roman" w:hAnsi="Times New Roman" w:eastAsia="黑体"/>
          <w:color w:val="auto"/>
          <w:sz w:val="28"/>
          <w:szCs w:val="28"/>
        </w:rPr>
        <w:t>供应商须知前附表</w:t>
      </w:r>
      <w:bookmarkEnd w:id="41"/>
      <w:bookmarkEnd w:id="42"/>
      <w:bookmarkEnd w:id="43"/>
      <w:bookmarkEnd w:id="44"/>
      <w:bookmarkEnd w:id="45"/>
    </w:p>
    <w:tbl>
      <w:tblPr>
        <w:tblStyle w:val="21"/>
        <w:tblW w:w="91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0"/>
        <w:gridCol w:w="2572"/>
        <w:gridCol w:w="5609"/>
      </w:tblGrid>
      <w:tr w14:paraId="24BC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A3C86">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45148">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  款  名  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B28C2">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编  列  内  容</w:t>
            </w:r>
          </w:p>
        </w:tc>
      </w:tr>
      <w:tr w14:paraId="2F09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15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DDAE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质量要求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F9B5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满足国家最新颁布的质量技术标准和本项目的特殊要求。</w:t>
            </w:r>
          </w:p>
        </w:tc>
      </w:tr>
      <w:tr w14:paraId="51E4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3F32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1.2.2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683C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供应商其他资格要求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69F19">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见第一章 采购公告要求。</w:t>
            </w:r>
          </w:p>
        </w:tc>
      </w:tr>
      <w:tr w14:paraId="7E95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084A5">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C5053">
            <w:pPr>
              <w:keepNext w:val="0"/>
              <w:keepLines w:val="0"/>
              <w:suppressLineNumbers w:val="0"/>
              <w:spacing w:before="0" w:beforeLines="0" w:beforeAutospacing="0" w:after="0" w:afterLines="0" w:afterAutospacing="0"/>
              <w:ind w:left="105" w:leftChars="50" w:right="0"/>
              <w:jc w:val="center"/>
              <w:rPr>
                <w:rFonts w:hint="default" w:ascii="Times New Roman" w:hAnsi="Times New Roman"/>
                <w:color w:val="auto"/>
                <w:sz w:val="21"/>
                <w:szCs w:val="21"/>
              </w:rPr>
            </w:pPr>
            <w:r>
              <w:rPr>
                <w:rFonts w:hint="eastAsia" w:ascii="Times New Roman" w:hAnsi="Times New Roman"/>
                <w:color w:val="auto"/>
                <w:sz w:val="21"/>
                <w:szCs w:val="21"/>
              </w:rPr>
              <w:t>供应商资质条件、能力、信誉</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40D62">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资质条件：见附录1</w:t>
            </w:r>
          </w:p>
          <w:p w14:paraId="2B6E91C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业绩要求：见附录2</w:t>
            </w:r>
          </w:p>
          <w:p w14:paraId="11A71B5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信誉要求：见附录3</w:t>
            </w:r>
          </w:p>
        </w:tc>
      </w:tr>
      <w:tr w14:paraId="7982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7503D">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EAF9B">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rPr>
              <w:t>是否接受联合体投标</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0F1CA">
            <w:pPr>
              <w:keepNext w:val="0"/>
              <w:keepLines w:val="0"/>
              <w:suppressLineNumbers w:val="0"/>
              <w:spacing w:before="0" w:beforeLines="0" w:beforeAutospacing="0" w:after="0" w:afterLines="0" w:afterAutospacing="0"/>
              <w:ind w:left="42" w:leftChars="20" w:right="42" w:rightChars="20"/>
              <w:rPr>
                <w:rFonts w:hint="default" w:ascii="Times New Roman" w:hAnsi="Times New Roman"/>
                <w:color w:val="auto"/>
                <w:kern w:val="0"/>
                <w:sz w:val="21"/>
                <w:szCs w:val="21"/>
              </w:rPr>
            </w:pPr>
            <w:r>
              <w:rPr>
                <w:rFonts w:hint="eastAsia" w:ascii="Times New Roman" w:hAnsi="Times New Roman"/>
                <w:color w:val="auto"/>
                <w:sz w:val="21"/>
                <w:szCs w:val="21"/>
              </w:rPr>
              <w:t>不接受</w:t>
            </w:r>
          </w:p>
        </w:tc>
      </w:tr>
      <w:tr w14:paraId="390F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E700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9497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响应文件其他材料要求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C899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无</w:t>
            </w:r>
          </w:p>
        </w:tc>
      </w:tr>
      <w:tr w14:paraId="772C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34B1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4</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B9C5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报价方式</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4D8A4">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固定单价</w:t>
            </w:r>
          </w:p>
          <w:p w14:paraId="707994D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固定总价</w:t>
            </w:r>
          </w:p>
        </w:tc>
      </w:tr>
      <w:tr w14:paraId="6D1D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E094D">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5</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C29B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报价的其他要求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67BC7">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38FE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339A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3.4.4</w:t>
            </w:r>
            <w:r>
              <w:rPr>
                <w:rFonts w:hint="eastAsia" w:ascii="Times New Roman" w:hAnsi="Times New Roman"/>
                <w:color w:val="auto"/>
                <w:sz w:val="21"/>
                <w:szCs w:val="21"/>
              </w:rPr>
              <w:t>（3）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1BEF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其他不予退还响应保证金的情形</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3D106">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报价方出现以下情形的，其询价响应保证金将不予退还：</w:t>
            </w:r>
          </w:p>
          <w:p w14:paraId="22F0CD45">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（1）</w:t>
            </w:r>
            <w:r>
              <w:rPr>
                <w:rFonts w:hint="eastAsia" w:ascii="宋体" w:hAnsi="宋体" w:cs="宋体"/>
                <w:color w:val="auto"/>
                <w:sz w:val="21"/>
                <w:szCs w:val="21"/>
              </w:rPr>
              <w:t>报价方在规定的响应有效期内撤销其响应文件。</w:t>
            </w:r>
          </w:p>
          <w:p w14:paraId="22DA5771">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（2）</w:t>
            </w:r>
            <w:r>
              <w:rPr>
                <w:rFonts w:hint="eastAsia" w:ascii="宋体" w:hAnsi="宋体" w:cs="宋体"/>
                <w:color w:val="auto"/>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26291114">
            <w:pPr>
              <w:pStyle w:val="8"/>
              <w:keepNext w:val="0"/>
              <w:keepLines w:val="0"/>
              <w:suppressLineNumbers w:val="0"/>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1"/>
                <w:szCs w:val="21"/>
              </w:rPr>
              <w:t>（3）</w:t>
            </w:r>
            <w:r>
              <w:rPr>
                <w:rFonts w:hint="eastAsia" w:ascii="宋体" w:hAnsi="宋体" w:cs="宋体"/>
                <w:color w:val="auto"/>
                <w:sz w:val="21"/>
                <w:szCs w:val="21"/>
              </w:rPr>
              <w:t>供应商存在以他人名义报价、与他人串通报价、以行贿手段谋取成交、弄虚作假等行为。</w:t>
            </w:r>
          </w:p>
        </w:tc>
      </w:tr>
      <w:tr w14:paraId="1B09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1BEE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3.6.3（2）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A4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yellow"/>
              </w:rPr>
            </w:pPr>
            <w:r>
              <w:rPr>
                <w:rFonts w:hint="eastAsia" w:ascii="Times New Roman" w:hAnsi="Times New Roman"/>
                <w:color w:val="auto"/>
                <w:sz w:val="21"/>
                <w:szCs w:val="21"/>
                <w:highlight w:val="yellow"/>
              </w:rPr>
              <w:t>响应文件份数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D85CB">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u w:val="single"/>
              </w:rPr>
            </w:pPr>
            <w:r>
              <w:rPr>
                <w:rFonts w:hint="eastAsia" w:ascii="Times New Roman" w:hAnsi="Times New Roman"/>
                <w:color w:val="auto"/>
                <w:sz w:val="21"/>
                <w:szCs w:val="21"/>
                <w:highlight w:val="yellow"/>
              </w:rPr>
              <w:t>响应文件应</w:t>
            </w:r>
            <w:r>
              <w:rPr>
                <w:rFonts w:hint="eastAsia" w:ascii="Times New Roman" w:hAnsi="Times New Roman"/>
                <w:b/>
                <w:color w:val="auto"/>
                <w:sz w:val="21"/>
                <w:szCs w:val="21"/>
                <w:highlight w:val="yellow"/>
              </w:rPr>
              <w:t>胶装成册，</w:t>
            </w:r>
            <w:r>
              <w:rPr>
                <w:rFonts w:hint="eastAsia" w:ascii="Times New Roman" w:hAnsi="Times New Roman"/>
                <w:color w:val="auto"/>
                <w:sz w:val="21"/>
                <w:szCs w:val="21"/>
                <w:highlight w:val="yellow"/>
              </w:rPr>
              <w:t>正、副本各一份。正副本内容不一致时，以正本为准。</w:t>
            </w:r>
          </w:p>
        </w:tc>
      </w:tr>
      <w:tr w14:paraId="258A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1AE30">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CF553">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highlight w:val="yellow"/>
              </w:rPr>
            </w:pPr>
            <w:r>
              <w:rPr>
                <w:rFonts w:hint="eastAsia" w:ascii="Times New Roman" w:hAnsi="Times New Roman"/>
                <w:b/>
                <w:color w:val="auto"/>
                <w:sz w:val="21"/>
                <w:szCs w:val="21"/>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5D4C4">
            <w:pPr>
              <w:keepNext w:val="0"/>
              <w:keepLines w:val="0"/>
              <w:suppressLineNumbers w:val="0"/>
              <w:spacing w:before="0" w:beforeLines="0" w:beforeAutospacing="0" w:after="0" w:afterLines="0" w:afterAutospacing="0"/>
              <w:ind w:left="0" w:right="0"/>
              <w:rPr>
                <w:rFonts w:hint="eastAsia" w:ascii="宋体" w:hAnsi="宋体" w:cs="宋体"/>
                <w:b/>
                <w:color w:val="auto"/>
                <w:sz w:val="21"/>
                <w:szCs w:val="21"/>
                <w:highlight w:val="yellow"/>
                <w:lang w:bidi="ar"/>
              </w:rPr>
            </w:pPr>
            <w:r>
              <w:rPr>
                <w:rFonts w:hint="eastAsia" w:ascii="宋体" w:hAnsi="宋体" w:cs="宋体"/>
                <w:b/>
                <w:color w:val="auto"/>
                <w:sz w:val="21"/>
                <w:szCs w:val="21"/>
                <w:highlight w:val="yellow"/>
                <w:lang w:bidi="ar"/>
              </w:rPr>
              <w:t>响应文件胶装，封口处须密封并加盖企业公章。</w:t>
            </w:r>
          </w:p>
          <w:p w14:paraId="047AD807">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rPr>
            </w:pPr>
            <w:r>
              <w:rPr>
                <w:rFonts w:hint="eastAsia" w:ascii="宋体" w:hAnsi="宋体" w:cs="宋体"/>
                <w:b/>
                <w:color w:val="auto"/>
                <w:sz w:val="21"/>
                <w:szCs w:val="21"/>
                <w:highlight w:val="yellow"/>
                <w:lang w:bidi="ar"/>
              </w:rPr>
              <w:t>在响应文件密封袋内需用U盘放报价清单电子版一份（EXCEL版），放盖章版响应文件的扫描件一份（PDF版）；如启封发现上述资料未放齐的，视为形式评审不合格，取消资格。</w:t>
            </w:r>
          </w:p>
        </w:tc>
      </w:tr>
      <w:tr w14:paraId="3BD1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3EAE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5.2.1（3）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D4EB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启封公布的其他内容</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A584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2B03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A2AC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7.4.1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2B46C">
            <w:pPr>
              <w:keepNext w:val="0"/>
              <w:keepLines w:val="0"/>
              <w:pageBreakBefore w:val="0"/>
              <w:suppressLineNumbers w:val="0"/>
              <w:kinsoku/>
              <w:wordWrap/>
              <w:overflowPunct/>
              <w:topLinePunct w:val="0"/>
              <w:autoSpaceDE/>
              <w:autoSpaceDN/>
              <w:bidi w:val="0"/>
              <w:adjustRightInd/>
              <w:spacing w:before="0" w:beforeLines="0" w:beforeAutospacing="0" w:after="0" w:afterLines="0" w:afterAutospacing="0" w:line="380" w:lineRule="exact"/>
              <w:ind w:left="0" w:right="0"/>
              <w:jc w:val="center"/>
              <w:textAlignment w:val="auto"/>
              <w:rPr>
                <w:rFonts w:hint="default" w:ascii="Times New Roman" w:hAnsi="Times New Roman"/>
                <w:color w:val="auto"/>
                <w:sz w:val="21"/>
                <w:szCs w:val="21"/>
              </w:rPr>
            </w:pPr>
            <w:r>
              <w:rPr>
                <w:rFonts w:hint="eastAsia" w:ascii="Times New Roman" w:hAnsi="Times New Roman"/>
                <w:color w:val="auto"/>
                <w:sz w:val="21"/>
                <w:szCs w:val="21"/>
              </w:rPr>
              <w:t>履约保证金</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AC940">
            <w:pPr>
              <w:keepNext w:val="0"/>
              <w:keepLines w:val="0"/>
              <w:pageBreakBefore w:val="0"/>
              <w:suppressLineNumbers w:val="0"/>
              <w:kinsoku/>
              <w:wordWrap/>
              <w:overflowPunct/>
              <w:topLinePunct w:val="0"/>
              <w:autoSpaceDE/>
              <w:autoSpaceDN/>
              <w:bidi w:val="0"/>
              <w:adjustRightInd/>
              <w:snapToGrid w:val="0"/>
              <w:spacing w:before="0" w:beforeLines="0" w:beforeAutospacing="0" w:after="0" w:afterLines="0" w:afterAutospacing="0" w:line="380" w:lineRule="exact"/>
              <w:ind w:left="0" w:right="0"/>
              <w:textAlignment w:val="auto"/>
              <w:rPr>
                <w:rFonts w:hint="eastAsia" w:ascii="宋体" w:hAnsi="宋体" w:cs="宋体"/>
                <w:color w:val="FF0000"/>
                <w:sz w:val="21"/>
                <w:szCs w:val="21"/>
                <w:lang w:val="en-US" w:eastAsia="zh-CN"/>
              </w:rPr>
            </w:pPr>
            <w:r>
              <w:rPr>
                <w:rFonts w:hint="eastAsia" w:ascii="宋体" w:hAnsi="宋体" w:cs="宋体"/>
                <w:color w:val="auto"/>
                <w:sz w:val="21"/>
                <w:szCs w:val="21"/>
              </w:rPr>
              <w:t>（1）</w:t>
            </w:r>
            <w:r>
              <w:rPr>
                <w:rFonts w:hint="eastAsia" w:ascii="宋体" w:hAnsi="宋体" w:cs="宋体"/>
                <w:color w:val="000000" w:themeColor="text1"/>
                <w:sz w:val="21"/>
                <w:szCs w:val="21"/>
                <w:lang w:val="en-US" w:eastAsia="zh-CN"/>
                <w14:textFill>
                  <w14:solidFill>
                    <w14:schemeClr w14:val="tx1"/>
                  </w14:solidFill>
                </w14:textFill>
              </w:rPr>
              <w:t>成交候选人</w:t>
            </w:r>
            <w:r>
              <w:rPr>
                <w:rFonts w:hint="eastAsia" w:ascii="宋体" w:hAnsi="宋体" w:cs="宋体"/>
                <w:color w:val="000000" w:themeColor="text1"/>
                <w:sz w:val="21"/>
                <w:szCs w:val="21"/>
                <w:lang w:eastAsia="zh-CN"/>
                <w14:textFill>
                  <w14:solidFill>
                    <w14:schemeClr w14:val="tx1"/>
                  </w14:solidFill>
                </w14:textFill>
              </w:rPr>
              <w:t>公示后，</w:t>
            </w:r>
            <w:r>
              <w:rPr>
                <w:rFonts w:hint="eastAsia" w:ascii="宋体" w:hAnsi="宋体" w:cs="宋体"/>
                <w:color w:val="000000" w:themeColor="text1"/>
                <w:sz w:val="21"/>
                <w:szCs w:val="21"/>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2138D94F">
            <w:pPr>
              <w:keepNext w:val="0"/>
              <w:keepLines w:val="0"/>
              <w:pageBreakBefore w:val="0"/>
              <w:suppressLineNumbers w:val="0"/>
              <w:kinsoku/>
              <w:wordWrap/>
              <w:overflowPunct/>
              <w:topLinePunct w:val="0"/>
              <w:autoSpaceDE/>
              <w:autoSpaceDN/>
              <w:bidi w:val="0"/>
              <w:adjustRightInd/>
              <w:snapToGrid w:val="0"/>
              <w:spacing w:before="0" w:beforeLines="0" w:beforeAutospacing="0" w:after="0" w:afterLines="0" w:afterAutospacing="0" w:line="380" w:lineRule="exact"/>
              <w:ind w:left="0" w:right="0"/>
              <w:textAlignment w:val="auto"/>
              <w:rPr>
                <w:rFonts w:hint="default"/>
                <w:color w:val="auto"/>
                <w:sz w:val="21"/>
                <w:szCs w:val="21"/>
              </w:rPr>
            </w:pPr>
            <w:r>
              <w:rPr>
                <w:rFonts w:hint="eastAsia" w:ascii="宋体" w:hAnsi="宋体" w:cs="宋体"/>
                <w:color w:val="auto"/>
                <w:sz w:val="21"/>
                <w:szCs w:val="21"/>
              </w:rPr>
              <w:t>（2）履约保证金退还时间：该项目物资供应整体验收完成后28天内。</w:t>
            </w:r>
          </w:p>
        </w:tc>
      </w:tr>
      <w:tr w14:paraId="15FB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31F2A2">
            <w:pPr>
              <w:keepNext w:val="0"/>
              <w:keepLines w:val="0"/>
              <w:pageBreakBefore w:val="0"/>
              <w:suppressLineNumbers w:val="0"/>
              <w:kinsoku/>
              <w:wordWrap/>
              <w:overflowPunct/>
              <w:topLinePunct w:val="0"/>
              <w:autoSpaceDE/>
              <w:autoSpaceDN/>
              <w:bidi w:val="0"/>
              <w:adjustRightInd/>
              <w:snapToGrid w:val="0"/>
              <w:spacing w:before="0" w:beforeLines="0" w:beforeAutospacing="0" w:after="0" w:afterLines="0" w:afterAutospacing="0" w:line="380" w:lineRule="exact"/>
              <w:ind w:left="0" w:right="0"/>
              <w:textAlignment w:val="auto"/>
              <w:rPr>
                <w:rFonts w:hint="default" w:ascii="Times New Roman" w:hAnsi="Times New Roman"/>
                <w:color w:val="auto"/>
                <w:sz w:val="21"/>
                <w:szCs w:val="21"/>
              </w:rPr>
            </w:pPr>
            <w:r>
              <w:rPr>
                <w:rFonts w:hint="eastAsia" w:ascii="Times New Roman" w:hAnsi="Times New Roman"/>
                <w:color w:val="auto"/>
                <w:sz w:val="21"/>
                <w:szCs w:val="21"/>
              </w:rPr>
              <w:t>9需要补充的其他内容</w:t>
            </w:r>
          </w:p>
        </w:tc>
      </w:tr>
      <w:tr w14:paraId="40B0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A073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9.1</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6E87CD">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80" w:lineRule="exact"/>
              <w:ind w:left="0" w:right="0"/>
              <w:textAlignment w:val="auto"/>
              <w:rPr>
                <w:rFonts w:hint="default"/>
                <w:color w:val="auto"/>
                <w:sz w:val="21"/>
                <w:szCs w:val="21"/>
              </w:rPr>
            </w:pPr>
            <w:r>
              <w:rPr>
                <w:rFonts w:hint="eastAsia"/>
                <w:color w:val="auto"/>
                <w:sz w:val="21"/>
                <w:szCs w:val="21"/>
              </w:rPr>
              <w:t>响应人或其他利害关系人对评标结果有异议的，应以书面形式提出，异议材料应包括：</w:t>
            </w:r>
          </w:p>
          <w:p w14:paraId="111F7743">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80" w:lineRule="exact"/>
              <w:ind w:left="0" w:right="0"/>
              <w:textAlignment w:val="auto"/>
              <w:rPr>
                <w:rFonts w:hint="default"/>
                <w:color w:val="auto"/>
                <w:sz w:val="21"/>
                <w:szCs w:val="21"/>
              </w:rPr>
            </w:pPr>
            <w:r>
              <w:rPr>
                <w:rFonts w:hint="eastAsia"/>
                <w:color w:val="auto"/>
                <w:sz w:val="21"/>
                <w:szCs w:val="21"/>
              </w:rPr>
              <w:t>（1）异议人的名称、地址及有效联系方式；</w:t>
            </w:r>
          </w:p>
          <w:p w14:paraId="77E9CAC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80" w:lineRule="exact"/>
              <w:ind w:left="0" w:right="0"/>
              <w:textAlignment w:val="auto"/>
              <w:rPr>
                <w:rFonts w:hint="default"/>
                <w:color w:val="auto"/>
                <w:sz w:val="21"/>
                <w:szCs w:val="21"/>
              </w:rPr>
            </w:pPr>
            <w:r>
              <w:rPr>
                <w:rFonts w:hint="eastAsia"/>
                <w:color w:val="auto"/>
                <w:sz w:val="21"/>
                <w:szCs w:val="21"/>
              </w:rPr>
              <w:t>（2）异议事项的基本事实；</w:t>
            </w:r>
          </w:p>
          <w:p w14:paraId="0AAA2E4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80" w:lineRule="exact"/>
              <w:ind w:left="0" w:right="0"/>
              <w:textAlignment w:val="auto"/>
              <w:rPr>
                <w:rFonts w:hint="default"/>
                <w:color w:val="auto"/>
                <w:sz w:val="21"/>
                <w:szCs w:val="21"/>
              </w:rPr>
            </w:pPr>
            <w:r>
              <w:rPr>
                <w:rFonts w:hint="eastAsia"/>
                <w:color w:val="auto"/>
                <w:sz w:val="21"/>
                <w:szCs w:val="21"/>
              </w:rPr>
              <w:t>（3）有效线索和相关证明材料。</w:t>
            </w:r>
          </w:p>
          <w:p w14:paraId="6996FCBC">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380" w:lineRule="exact"/>
              <w:ind w:left="0" w:right="0" w:firstLine="420" w:firstLineChars="200"/>
              <w:textAlignment w:val="auto"/>
              <w:rPr>
                <w:rFonts w:hint="default" w:ascii="Times New Roman" w:hAnsi="Times New Roman"/>
                <w:color w:val="auto"/>
                <w:sz w:val="21"/>
                <w:szCs w:val="21"/>
              </w:rPr>
            </w:pPr>
            <w:r>
              <w:rPr>
                <w:rFonts w:hint="eastAsia"/>
                <w:color w:val="auto"/>
                <w:sz w:val="21"/>
                <w:szCs w:val="21"/>
              </w:rPr>
              <w:t>异议人是法人的，异议材料必须由其法定代表人或者授权代表签字并盖章；其他组织或者个人提出异议的，异议材料必须由其主要负责人或者异议本人签字，并附有效身份证明复印件。</w:t>
            </w:r>
          </w:p>
        </w:tc>
      </w:tr>
      <w:tr w14:paraId="40B6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98063">
            <w:pPr>
              <w:keepNext w:val="0"/>
              <w:keepLines w:val="0"/>
              <w:suppressLineNumbers w:val="0"/>
              <w:spacing w:before="0" w:beforeLines="0" w:beforeAutospacing="0" w:after="0" w:afterLines="0" w:afterAutospacing="0" w:line="440" w:lineRule="exact"/>
              <w:ind w:left="0" w:right="0" w:firstLine="210" w:firstLineChars="10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9.2</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E40BCD">
            <w:pPr>
              <w:pStyle w:val="8"/>
              <w:keepNext w:val="0"/>
              <w:keepLines w:val="0"/>
              <w:pageBreakBefore w:val="0"/>
              <w:suppressLineNumbers w:val="0"/>
              <w:kinsoku/>
              <w:wordWrap/>
              <w:overflowPunct/>
              <w:topLinePunct w:val="0"/>
              <w:autoSpaceDE/>
              <w:autoSpaceDN/>
              <w:bidi w:val="0"/>
              <w:adjustRightInd/>
              <w:spacing w:before="0" w:beforeLines="0" w:beforeAutospacing="0" w:after="0" w:afterLines="0" w:afterAutospacing="0" w:line="380" w:lineRule="exact"/>
              <w:ind w:left="0" w:right="0"/>
              <w:textAlignment w:val="auto"/>
              <w:rPr>
                <w:rFonts w:hint="default"/>
                <w:color w:val="auto"/>
                <w:sz w:val="21"/>
                <w:szCs w:val="21"/>
                <w:highlight w:val="none"/>
              </w:rPr>
            </w:pPr>
            <w:r>
              <w:rPr>
                <w:rFonts w:hint="eastAsia"/>
                <w:color w:val="auto"/>
                <w:sz w:val="21"/>
                <w:szCs w:val="21"/>
                <w:highlight w:val="none"/>
              </w:rPr>
              <w:t>1.报价完全考虑报价清单要求内容，含清单内要求的品牌，材质，工艺，辅材等。</w:t>
            </w:r>
          </w:p>
          <w:p w14:paraId="0E92E068">
            <w:pPr>
              <w:keepNext w:val="0"/>
              <w:keepLines w:val="0"/>
              <w:pageBreakBefore w:val="0"/>
              <w:suppressLineNumbers w:val="0"/>
              <w:kinsoku/>
              <w:wordWrap/>
              <w:overflowPunct/>
              <w:topLinePunct w:val="0"/>
              <w:autoSpaceDE/>
              <w:autoSpaceDN/>
              <w:bidi w:val="0"/>
              <w:adjustRightInd/>
              <w:spacing w:before="0" w:beforeLines="0" w:beforeAutospacing="0" w:after="0" w:afterLines="0" w:afterAutospacing="0" w:line="380" w:lineRule="exact"/>
              <w:ind w:left="0" w:right="0"/>
              <w:textAlignment w:val="auto"/>
              <w:rPr>
                <w:rFonts w:hint="default" w:ascii="Times New Roman"/>
                <w:b/>
                <w:color w:val="auto"/>
                <w:sz w:val="21"/>
                <w:szCs w:val="21"/>
                <w:highlight w:val="none"/>
              </w:rPr>
            </w:pPr>
            <w:r>
              <w:rPr>
                <w:rFonts w:hint="eastAsia"/>
                <w:color w:val="auto"/>
                <w:sz w:val="21"/>
                <w:szCs w:val="21"/>
                <w:highlight w:val="none"/>
              </w:rPr>
              <w:t>2.</w:t>
            </w:r>
            <w:r>
              <w:rPr>
                <w:rFonts w:hint="eastAsia" w:ascii="Times New Roman"/>
                <w:color w:val="auto"/>
                <w:sz w:val="21"/>
                <w:szCs w:val="21"/>
                <w:highlight w:val="none"/>
              </w:rPr>
              <w:t>异常低价或不平衡报价，采购人有权做废标处理。</w:t>
            </w:r>
          </w:p>
        </w:tc>
      </w:tr>
      <w:tr w14:paraId="04CC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40E0E">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9.3</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3C1F9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80" w:lineRule="exact"/>
              <w:ind w:left="0" w:right="0" w:firstLine="420" w:firstLineChars="200"/>
              <w:textAlignment w:val="auto"/>
              <w:rPr>
                <w:rFonts w:hint="default" w:ascii="Times New Roman" w:hAnsi="Times New Roman"/>
                <w:color w:val="auto"/>
                <w:sz w:val="21"/>
                <w:szCs w:val="21"/>
              </w:rPr>
            </w:pPr>
            <w:r>
              <w:rPr>
                <w:rFonts w:hint="eastAsia" w:ascii="宋体" w:hAnsi="宋体" w:cs="宋体"/>
                <w:color w:val="auto"/>
                <w:sz w:val="21"/>
                <w:szCs w:val="21"/>
              </w:rPr>
              <w:t>供货方按合同约定的交货地点交货后投入使用，由使用单位或合同签订单位进行</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设备验收检测（如需），如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设备验收检测合格，产生的检测费用由使用单位或合同签订单位支付；如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设备验收检测不合格，产生的检测费用由供货方支付并对不合格</w:t>
            </w:r>
            <w:r>
              <w:rPr>
                <w:rFonts w:hint="eastAsia" w:ascii="宋体" w:hAnsi="宋体" w:cs="宋体"/>
                <w:color w:val="auto"/>
                <w:sz w:val="21"/>
                <w:szCs w:val="21"/>
                <w:lang w:val="en-US" w:eastAsia="zh-CN"/>
              </w:rPr>
              <w:t>物资、</w:t>
            </w:r>
            <w:r>
              <w:rPr>
                <w:rFonts w:hint="eastAsia" w:ascii="宋体" w:hAnsi="宋体" w:cs="宋体"/>
                <w:color w:val="auto"/>
                <w:sz w:val="21"/>
                <w:szCs w:val="21"/>
              </w:rPr>
              <w:t>设备进行维修或更换，若造成损失供货方将进行赔偿，甚至追究违约责任。</w:t>
            </w:r>
          </w:p>
        </w:tc>
      </w:tr>
      <w:tr w14:paraId="7822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6754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9.4</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55DD9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80" w:lineRule="exact"/>
              <w:ind w:left="0" w:right="0" w:firstLine="420" w:firstLineChars="200"/>
              <w:jc w:val="left"/>
              <w:textAlignment w:val="auto"/>
              <w:rPr>
                <w:rFonts w:hint="eastAsia" w:ascii="宋体" w:hAnsi="宋体" w:cs="宋体"/>
                <w:color w:val="auto"/>
                <w:sz w:val="21"/>
                <w:szCs w:val="21"/>
              </w:rPr>
            </w:pPr>
            <w:r>
              <w:rPr>
                <w:rFonts w:hint="eastAsia" w:ascii="宋体" w:hAnsi="宋体" w:cs="宋体"/>
                <w:color w:val="auto"/>
                <w:sz w:val="21"/>
                <w:szCs w:val="21"/>
              </w:rPr>
              <w:t>1.本项目后期有可能涉及部分产品的优化及深化设计，响应单位在响应报价时应充分考虑此部分的费用，根据自身因素、综合条件、市场风险自行报价，中标后不予调整。</w:t>
            </w:r>
          </w:p>
          <w:p w14:paraId="6B153D10">
            <w:pPr>
              <w:keepNext w:val="0"/>
              <w:keepLines w:val="0"/>
              <w:pageBreakBefore w:val="0"/>
              <w:suppressLineNumbers w:val="0"/>
              <w:kinsoku/>
              <w:wordWrap/>
              <w:overflowPunct/>
              <w:topLinePunct w:val="0"/>
              <w:autoSpaceDE/>
              <w:autoSpaceDN/>
              <w:bidi w:val="0"/>
              <w:adjustRightInd/>
              <w:spacing w:before="0" w:beforeLines="0" w:beforeAutospacing="0" w:after="0" w:afterLines="0" w:afterAutospacing="0" w:line="380" w:lineRule="exact"/>
              <w:ind w:left="0" w:right="0"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2.材料常规检测费用含在报价中，采购人不另外单独支付。</w:t>
            </w:r>
          </w:p>
        </w:tc>
      </w:tr>
      <w:tr w14:paraId="3DEB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43E73">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4E398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lang w:val="en-US" w:eastAsia="zh-CN"/>
                <w14:textFill>
                  <w14:solidFill>
                    <w14:schemeClr w14:val="tx1"/>
                  </w14:solidFill>
                </w14:textFill>
              </w:rPr>
              <w:t xml:space="preserve">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tc>
      </w:tr>
      <w:tr w14:paraId="0A1F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516EB">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eastAsiaTheme="minorEastAsia"/>
                <w:color w:val="auto"/>
                <w:sz w:val="21"/>
                <w:szCs w:val="21"/>
                <w:lang w:eastAsia="zh-CN"/>
              </w:rPr>
            </w:pPr>
            <w:r>
              <w:rPr>
                <w:rFonts w:hint="eastAsia" w:ascii="Times New Roman" w:hAnsi="Times New Roman"/>
                <w:color w:val="auto"/>
                <w:sz w:val="21"/>
                <w:szCs w:val="21"/>
              </w:rPr>
              <w:t>9.</w:t>
            </w:r>
            <w:r>
              <w:rPr>
                <w:rFonts w:hint="eastAsia" w:ascii="Times New Roman" w:hAnsi="Times New Roman"/>
                <w:color w:val="auto"/>
                <w:sz w:val="21"/>
                <w:szCs w:val="21"/>
                <w:lang w:val="en-US" w:eastAsia="zh-CN"/>
              </w:rPr>
              <w:t>6</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39F0BF">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1.自2025 年1月1日起</w:t>
            </w:r>
            <w:r>
              <w:rPr>
                <w:rFonts w:hint="eastAsia" w:ascii="宋体" w:hAnsi="宋体" w:cs="宋体"/>
                <w:b/>
                <w:bCs/>
                <w:color w:val="000000" w:themeColor="text1"/>
                <w:sz w:val="21"/>
                <w:szCs w:val="21"/>
                <w:highlight w:val="yellow"/>
                <w:lang w:val="en-US" w:eastAsia="zh-CN"/>
                <w14:textFill>
                  <w14:solidFill>
                    <w14:schemeClr w14:val="tx1"/>
                  </w14:solidFill>
                </w14:textFill>
              </w:rPr>
              <w:t>计算</w:t>
            </w:r>
            <w:r>
              <w:rPr>
                <w:rFonts w:hint="eastAsia" w:ascii="宋体" w:hAnsi="宋体" w:cs="宋体"/>
                <w:b/>
                <w:bCs/>
                <w:color w:val="000000" w:themeColor="text1"/>
                <w:sz w:val="21"/>
                <w:szCs w:val="21"/>
                <w:highlight w:val="yellow"/>
                <w14:textFill>
                  <w14:solidFill>
                    <w14:schemeClr w14:val="tx1"/>
                  </w14:solidFill>
                </w14:textFill>
              </w:rPr>
              <w:t>，乙方</w:t>
            </w:r>
            <w:r>
              <w:rPr>
                <w:rFonts w:hint="eastAsia" w:ascii="宋体" w:hAnsi="宋体" w:cs="宋体"/>
                <w:b/>
                <w:bCs/>
                <w:color w:val="000000" w:themeColor="text1"/>
                <w:sz w:val="21"/>
                <w:szCs w:val="21"/>
                <w:highlight w:val="yellow"/>
                <w:lang w:val="en-US" w:eastAsia="zh-CN"/>
                <w14:textFill>
                  <w14:solidFill>
                    <w14:schemeClr w14:val="tx1"/>
                  </w14:solidFill>
                </w14:textFill>
              </w:rPr>
              <w:t>须按</w:t>
            </w:r>
            <w:r>
              <w:rPr>
                <w:rFonts w:hint="eastAsia" w:ascii="宋体" w:hAnsi="宋体" w:cs="宋体"/>
                <w:b/>
                <w:bCs/>
                <w:color w:val="000000" w:themeColor="text1"/>
                <w:sz w:val="21"/>
                <w:szCs w:val="21"/>
                <w:highlight w:val="yellow"/>
                <w14:textFill>
                  <w14:solidFill>
                    <w14:schemeClr w14:val="tx1"/>
                  </w14:solidFill>
                </w14:textFill>
              </w:rPr>
              <w:t>累计供货</w:t>
            </w:r>
            <w:r>
              <w:rPr>
                <w:rFonts w:hint="eastAsia" w:ascii="宋体" w:hAnsi="宋体" w:cs="宋体"/>
                <w:b/>
                <w:bCs/>
                <w:color w:val="000000" w:themeColor="text1"/>
                <w:sz w:val="21"/>
                <w:szCs w:val="21"/>
                <w:highlight w:val="yellow"/>
                <w:lang w:val="en-US" w:eastAsia="zh-CN"/>
                <w14:textFill>
                  <w14:solidFill>
                    <w14:schemeClr w14:val="tx1"/>
                  </w14:solidFill>
                </w14:textFill>
              </w:rPr>
              <w:t>金额每达800万，</w:t>
            </w:r>
            <w:r>
              <w:rPr>
                <w:rFonts w:hint="eastAsia" w:ascii="宋体" w:hAnsi="宋体" w:cs="宋体"/>
                <w:b/>
                <w:bCs/>
                <w:color w:val="000000" w:themeColor="text1"/>
                <w:sz w:val="21"/>
                <w:szCs w:val="21"/>
                <w:highlight w:val="yellow"/>
                <w14:textFill>
                  <w14:solidFill>
                    <w14:schemeClr w14:val="tx1"/>
                  </w14:solidFill>
                </w14:textFill>
              </w:rPr>
              <w:t>在甲方指定的交控建工集团任意开发或代建项目购买住宅</w:t>
            </w:r>
            <w:r>
              <w:rPr>
                <w:rFonts w:hint="eastAsia" w:ascii="宋体" w:hAnsi="宋体" w:cs="宋体"/>
                <w:b/>
                <w:bCs/>
                <w:color w:val="000000" w:themeColor="text1"/>
                <w:sz w:val="21"/>
                <w:szCs w:val="21"/>
                <w:highlight w:val="yellow"/>
                <w:lang w:val="en-US" w:eastAsia="zh-CN"/>
                <w14:textFill>
                  <w14:solidFill>
                    <w14:schemeClr w14:val="tx1"/>
                  </w14:solidFill>
                </w14:textFill>
              </w:rPr>
              <w:t>1套</w:t>
            </w:r>
            <w:r>
              <w:rPr>
                <w:rFonts w:hint="eastAsia" w:ascii="宋体" w:hAnsi="宋体" w:cs="宋体"/>
                <w:b/>
                <w:bCs/>
                <w:color w:val="000000" w:themeColor="text1"/>
                <w:sz w:val="21"/>
                <w:szCs w:val="21"/>
                <w:highlight w:val="yellow"/>
                <w:lang w:eastAsia="zh-CN"/>
                <w14:textFill>
                  <w14:solidFill>
                    <w14:schemeClr w14:val="tx1"/>
                  </w14:solidFill>
                </w14:textFill>
              </w:rPr>
              <w:t>、</w:t>
            </w:r>
            <w:r>
              <w:rPr>
                <w:rFonts w:hint="eastAsia" w:ascii="宋体" w:hAnsi="宋体" w:cs="宋体"/>
                <w:b/>
                <w:bCs/>
                <w:color w:val="000000" w:themeColor="text1"/>
                <w:sz w:val="21"/>
                <w:szCs w:val="21"/>
                <w:highlight w:val="yellow"/>
                <w14:textFill>
                  <w14:solidFill>
                    <w14:schemeClr w14:val="tx1"/>
                  </w14:solidFill>
                </w14:textFill>
              </w:rPr>
              <w:t>车位</w:t>
            </w:r>
            <w:r>
              <w:rPr>
                <w:rFonts w:hint="eastAsia" w:ascii="宋体" w:hAnsi="宋体" w:cs="宋体"/>
                <w:b/>
                <w:bCs/>
                <w:color w:val="000000" w:themeColor="text1"/>
                <w:sz w:val="21"/>
                <w:szCs w:val="21"/>
                <w:highlight w:val="yellow"/>
                <w:lang w:val="en-US" w:eastAsia="zh-CN"/>
                <w14:textFill>
                  <w14:solidFill>
                    <w14:schemeClr w14:val="tx1"/>
                  </w14:solidFill>
                </w14:textFill>
              </w:rPr>
              <w:t>1个</w:t>
            </w:r>
            <w:r>
              <w:rPr>
                <w:rFonts w:hint="eastAsia" w:ascii="宋体" w:hAnsi="宋体" w:cs="宋体"/>
                <w:b/>
                <w:bCs/>
                <w:color w:val="000000" w:themeColor="text1"/>
                <w:sz w:val="21"/>
                <w:szCs w:val="21"/>
                <w:highlight w:val="yellow"/>
                <w14:textFill>
                  <w14:solidFill>
                    <w14:schemeClr w14:val="tx1"/>
                  </w14:solidFill>
                </w14:textFill>
              </w:rPr>
              <w:t>。1套住宅+1个车位预估价为</w:t>
            </w:r>
            <w:r>
              <w:rPr>
                <w:rFonts w:hint="eastAsia" w:ascii="宋体" w:hAnsi="宋体" w:cs="宋体"/>
                <w:b/>
                <w:bCs/>
                <w:color w:val="000000" w:themeColor="text1"/>
                <w:sz w:val="21"/>
                <w:szCs w:val="21"/>
                <w:highlight w:val="yellow"/>
                <w:lang w:val="en-US" w:eastAsia="zh-CN"/>
                <w14:textFill>
                  <w14:solidFill>
                    <w14:schemeClr w14:val="tx1"/>
                  </w14:solidFill>
                </w14:textFill>
              </w:rPr>
              <w:t>8</w:t>
            </w:r>
            <w:r>
              <w:rPr>
                <w:rFonts w:hint="eastAsia" w:ascii="宋体" w:hAnsi="宋体" w:cs="宋体"/>
                <w:b/>
                <w:bCs/>
                <w:color w:val="000000" w:themeColor="text1"/>
                <w:sz w:val="21"/>
                <w:szCs w:val="21"/>
                <w:highlight w:val="yellow"/>
                <w14:textFill>
                  <w14:solidFill>
                    <w14:schemeClr w14:val="tx1"/>
                  </w14:solidFill>
                </w14:textFill>
              </w:rPr>
              <w:t>0万元，购买人可为乙方或乙方指定的购买人。</w:t>
            </w:r>
          </w:p>
          <w:p w14:paraId="50A696D3">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2.房屋认购应在</w:t>
            </w:r>
            <w:r>
              <w:rPr>
                <w:rFonts w:hint="eastAsia" w:ascii="宋体" w:hAnsi="宋体" w:cs="宋体"/>
                <w:b/>
                <w:bCs/>
                <w:color w:val="000000" w:themeColor="text1"/>
                <w:sz w:val="21"/>
                <w:szCs w:val="21"/>
                <w:highlight w:val="yellow"/>
                <w:lang w:val="en-US" w:eastAsia="zh-CN"/>
                <w14:textFill>
                  <w14:solidFill>
                    <w14:schemeClr w14:val="tx1"/>
                  </w14:solidFill>
                </w14:textFill>
              </w:rPr>
              <w:t>累计供货额达到每800万后的60天内完成房屋认购</w:t>
            </w:r>
            <w:r>
              <w:rPr>
                <w:rFonts w:hint="eastAsia" w:ascii="宋体" w:hAnsi="宋体" w:cs="宋体"/>
                <w:b/>
                <w:bCs/>
                <w:color w:val="000000" w:themeColor="text1"/>
                <w:sz w:val="21"/>
                <w:szCs w:val="21"/>
                <w:highlight w:val="yellow"/>
                <w14:textFill>
                  <w14:solidFill>
                    <w14:schemeClr w14:val="tx1"/>
                  </w14:solidFill>
                </w14:textFill>
              </w:rPr>
              <w:t>，如乙方未在</w:t>
            </w:r>
            <w:r>
              <w:rPr>
                <w:rFonts w:hint="eastAsia" w:ascii="宋体" w:hAnsi="宋体" w:cs="宋体"/>
                <w:b/>
                <w:bCs/>
                <w:color w:val="000000" w:themeColor="text1"/>
                <w:sz w:val="21"/>
                <w:szCs w:val="21"/>
                <w:highlight w:val="yellow"/>
                <w:lang w:val="en-US" w:eastAsia="zh-CN"/>
                <w14:textFill>
                  <w14:solidFill>
                    <w14:schemeClr w14:val="tx1"/>
                  </w14:solidFill>
                </w14:textFill>
              </w:rPr>
              <w:t>约定时间</w:t>
            </w:r>
            <w:r>
              <w:rPr>
                <w:rFonts w:hint="eastAsia" w:ascii="宋体" w:hAnsi="宋体" w:cs="宋体"/>
                <w:b/>
                <w:bCs/>
                <w:color w:val="000000" w:themeColor="text1"/>
                <w:sz w:val="21"/>
                <w:szCs w:val="21"/>
                <w:highlight w:val="yellow"/>
                <w14:textFill>
                  <w14:solidFill>
                    <w14:schemeClr w14:val="tx1"/>
                  </w14:solidFill>
                </w14:textFill>
              </w:rPr>
              <w:t>内完成房屋认购，乙方需向甲方支付</w:t>
            </w:r>
            <w:r>
              <w:rPr>
                <w:rFonts w:hint="eastAsia" w:ascii="宋体" w:hAnsi="宋体" w:cs="宋体"/>
                <w:b/>
                <w:bCs/>
                <w:color w:val="000000" w:themeColor="text1"/>
                <w:sz w:val="21"/>
                <w:szCs w:val="21"/>
                <w:highlight w:val="yellow"/>
                <w:lang w:val="en-US" w:eastAsia="zh-CN"/>
                <w14:textFill>
                  <w14:solidFill>
                    <w14:schemeClr w14:val="tx1"/>
                  </w14:solidFill>
                </w14:textFill>
              </w:rPr>
              <w:t>累计</w:t>
            </w:r>
            <w:r>
              <w:rPr>
                <w:rFonts w:hint="eastAsia" w:ascii="宋体" w:hAnsi="宋体" w:cs="宋体"/>
                <w:b/>
                <w:bCs/>
                <w:color w:val="000000" w:themeColor="text1"/>
                <w:sz w:val="21"/>
                <w:szCs w:val="21"/>
                <w:highlight w:val="yellow"/>
                <w14:textFill>
                  <w14:solidFill>
                    <w14:schemeClr w14:val="tx1"/>
                  </w14:solidFill>
                </w14:textFill>
              </w:rPr>
              <w:t>供货价款10%的违约金，甲方有权直接从乙方未支付的货款中直接扣除。</w:t>
            </w:r>
          </w:p>
          <w:p w14:paraId="2B20F8BD">
            <w:pPr>
              <w:keepNext w:val="0"/>
              <w:keepLines w:val="0"/>
              <w:widowControl/>
              <w:suppressLineNumbers w:val="0"/>
              <w:spacing w:before="0" w:beforeAutospacing="0" w:after="0" w:afterAutospacing="0"/>
              <w:ind w:left="0" w:right="0" w:firstLine="420" w:firstLineChars="200"/>
              <w:jc w:val="left"/>
              <w:textAlignment w:val="center"/>
              <w:rPr>
                <w:rFonts w:hint="eastAsia"/>
                <w:color w:val="auto"/>
                <w:sz w:val="21"/>
                <w:szCs w:val="21"/>
              </w:rPr>
            </w:pPr>
            <w:r>
              <w:rPr>
                <w:rFonts w:hint="eastAsia" w:ascii="宋体" w:hAnsi="宋体" w:cs="宋体"/>
                <w:b/>
                <w:bCs/>
                <w:color w:val="000000" w:themeColor="text1"/>
                <w:sz w:val="21"/>
                <w:szCs w:val="21"/>
                <w:highlight w:val="yellow"/>
                <w14:textFill>
                  <w14:solidFill>
                    <w14:schemeClr w14:val="tx1"/>
                  </w14:solidFill>
                </w14:textFill>
              </w:rPr>
              <w:t>3.对于完成工抵的供应商获得下年度集采重点推荐资格；额外给予上年度合作额度10%的上浮空间；对合作供应商授予“战略合作伙伴"认证资质。</w:t>
            </w:r>
          </w:p>
        </w:tc>
      </w:tr>
    </w:tbl>
    <w:p w14:paraId="677CC82D">
      <w:pPr>
        <w:spacing w:beforeLines="0" w:afterLines="0"/>
        <w:rPr>
          <w:rFonts w:hint="default"/>
          <w:color w:val="auto"/>
          <w:sz w:val="21"/>
          <w:szCs w:val="24"/>
        </w:rPr>
      </w:pPr>
      <w:r>
        <w:rPr>
          <w:rFonts w:hint="eastAsia" w:ascii="Times New Roman" w:hAnsi="Times New Roman"/>
          <w:color w:val="auto"/>
          <w:sz w:val="21"/>
          <w:szCs w:val="21"/>
        </w:rPr>
        <w:t>注：供应商须知正文与前附表内容不一致时，以供应商须知前附表的内容为准。</w:t>
      </w:r>
    </w:p>
    <w:p w14:paraId="3545BA27">
      <w:pPr>
        <w:spacing w:beforeLines="0" w:afterLines="0"/>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br w:type="page"/>
      </w:r>
    </w:p>
    <w:p w14:paraId="36633DEA">
      <w:pPr>
        <w:spacing w:beforeLines="0" w:afterLines="0"/>
        <w:jc w:val="center"/>
        <w:rPr>
          <w:rFonts w:hint="default"/>
          <w:color w:val="auto"/>
          <w:sz w:val="21"/>
          <w:szCs w:val="24"/>
        </w:rPr>
      </w:pPr>
      <w:r>
        <w:rPr>
          <w:rFonts w:hint="eastAsia" w:ascii="黑体" w:eastAsia="黑体"/>
          <w:color w:val="auto"/>
          <w:sz w:val="24"/>
          <w:szCs w:val="24"/>
        </w:rPr>
        <w:t>附录1资格审查条件（资质最低条件）</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A15D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4AA1258">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2769E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6D37A59">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ascii="Times New Roman" w:hAnsi="Times New Roman"/>
                <w:color w:val="auto"/>
                <w:sz w:val="21"/>
                <w:szCs w:val="22"/>
                <w:u w:val="single"/>
                <w:lang w:val="en-US" w:eastAsia="zh-CN"/>
              </w:rPr>
            </w:pPr>
            <w:r>
              <w:rPr>
                <w:rFonts w:hint="eastAsia" w:ascii="Times New Roman" w:hAnsi="Times New Roman"/>
                <w:color w:val="auto"/>
                <w:sz w:val="21"/>
                <w:szCs w:val="22"/>
                <w:u w:val="single"/>
                <w:lang w:val="en-US" w:eastAsia="zh-CN"/>
              </w:rPr>
              <w:t xml:space="preserve">①具备独立法人资格，持有有效的营业执照。   </w:t>
            </w:r>
          </w:p>
          <w:p w14:paraId="7F3C3624">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color w:val="auto"/>
                <w:sz w:val="22"/>
                <w:szCs w:val="22"/>
              </w:rPr>
            </w:pPr>
            <w:r>
              <w:rPr>
                <w:rFonts w:hint="eastAsia" w:ascii="Times New Roman" w:hAnsi="Times New Roman"/>
                <w:color w:val="auto"/>
                <w:sz w:val="21"/>
                <w:szCs w:val="22"/>
                <w:u w:val="single"/>
                <w:lang w:val="en-US" w:eastAsia="zh-CN"/>
              </w:rPr>
              <w:t>②制造商/厂家参与询比的，应具备有生产、销售采购人所需材料的能力；经销商/代理商参加询比的，应具备销售采购人所需材料的能力（提供所投品牌产品业绩进行证明）。</w:t>
            </w:r>
          </w:p>
        </w:tc>
      </w:tr>
    </w:tbl>
    <w:p w14:paraId="3385A9D5">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444CBF6A">
      <w:pPr>
        <w:pStyle w:val="8"/>
        <w:spacing w:beforeLines="0" w:afterLines="0"/>
        <w:rPr>
          <w:rFonts w:hint="default"/>
          <w:color w:val="auto"/>
          <w:sz w:val="21"/>
          <w:szCs w:val="24"/>
        </w:rPr>
      </w:pPr>
    </w:p>
    <w:p w14:paraId="15C46374">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F1B1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0A29DA83">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553C5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C4F8C0D">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default"/>
                <w:color w:val="auto"/>
                <w:sz w:val="21"/>
                <w:szCs w:val="24"/>
              </w:rPr>
            </w:pPr>
            <w:r>
              <w:rPr>
                <w:rFonts w:hint="eastAsia" w:ascii="Times New Roman" w:hAnsi="Times New Roman"/>
                <w:color w:val="000000" w:themeColor="text1"/>
                <w:sz w:val="21"/>
                <w:szCs w:val="22"/>
                <w:highlight w:val="none"/>
                <w:lang w:val="en-US" w:eastAsia="zh-CN"/>
                <w14:textFill>
                  <w14:solidFill>
                    <w14:schemeClr w14:val="tx1"/>
                  </w14:solidFill>
                </w14:textFill>
              </w:rPr>
              <w:t>提供2022年1月1日（以合同签订时间为准）以来，任一年度内累计合同额不低于50万的惠达洁具供应合同业绩，每个业绩至少提供不低于合同金额50%的增值税发票（或提供不低于资格审查要求业绩金额的增值税发票），未提供或提供发票金额不足的，该业绩无效。</w:t>
            </w:r>
          </w:p>
        </w:tc>
      </w:tr>
    </w:tbl>
    <w:p w14:paraId="2889880A">
      <w:pPr>
        <w:spacing w:beforeLines="0" w:afterLines="0"/>
        <w:rPr>
          <w:rFonts w:hint="default"/>
          <w:color w:val="auto"/>
          <w:sz w:val="21"/>
          <w:szCs w:val="24"/>
        </w:rPr>
      </w:pPr>
      <w:r>
        <w:rPr>
          <w:rFonts w:hint="eastAsia"/>
          <w:color w:val="auto"/>
          <w:sz w:val="21"/>
          <w:szCs w:val="24"/>
        </w:rPr>
        <w:t>业绩证明材料要求如下，否则业绩不予认可。</w:t>
      </w:r>
    </w:p>
    <w:p w14:paraId="06EBEC1E">
      <w:pPr>
        <w:spacing w:beforeLines="0" w:afterLines="0"/>
        <w:ind w:firstLine="420" w:firstLineChars="200"/>
        <w:rPr>
          <w:rFonts w:hint="default"/>
          <w:color w:val="auto"/>
          <w:sz w:val="21"/>
          <w:szCs w:val="24"/>
        </w:rPr>
      </w:pPr>
      <w:r>
        <w:rPr>
          <w:rFonts w:hint="eastAsia"/>
          <w:color w:val="auto"/>
          <w:sz w:val="21"/>
          <w:szCs w:val="24"/>
        </w:rPr>
        <w:t xml:space="preserve">①合同协议书扫描件；                                                                                                                                                                                                                                                                                                                                                                                                                                                                                                                                                                                                                                                                                                                                                                                                                                                                                                                                                                                                                                                                                                                                                                                                                                                                                                                                                                                                                                                                                                                                                                                                                                                                                                                                                                                                                                                                                                                                                                                                                                                                                                                                                                          </w:t>
      </w:r>
    </w:p>
    <w:p w14:paraId="4B71BF09">
      <w:pPr>
        <w:spacing w:beforeLines="0" w:afterLines="0"/>
        <w:ind w:firstLine="420" w:firstLineChars="200"/>
        <w:rPr>
          <w:rFonts w:hint="default"/>
          <w:color w:val="auto"/>
          <w:sz w:val="21"/>
          <w:szCs w:val="24"/>
        </w:rPr>
      </w:pPr>
      <w:r>
        <w:rPr>
          <w:rFonts w:hint="eastAsia"/>
          <w:color w:val="auto"/>
          <w:sz w:val="21"/>
          <w:szCs w:val="24"/>
        </w:rPr>
        <w:t>②若合同协议书中不能明确反映出采购文件所要求内容的（如合同金额、合同签订时间、供货内容等），则须提供业主单位（甲方）出具加盖公章的证明材料扫描件。</w:t>
      </w:r>
    </w:p>
    <w:p w14:paraId="1CE603AE">
      <w:pPr>
        <w:spacing w:beforeLines="0" w:afterLines="0"/>
        <w:ind w:firstLine="420" w:firstLineChars="200"/>
        <w:rPr>
          <w:rFonts w:hint="default"/>
          <w:color w:val="auto"/>
          <w:sz w:val="21"/>
          <w:szCs w:val="24"/>
        </w:rPr>
      </w:pPr>
      <w:r>
        <w:rPr>
          <w:rFonts w:hint="eastAsia"/>
          <w:color w:val="auto"/>
          <w:sz w:val="21"/>
          <w:szCs w:val="24"/>
        </w:rPr>
        <w:t>③若业绩合同中包含多项设备，则合同中应能体现资格要求中所需设备的内容和金额，无法体现的，须提供供货单据、供货发票、业主验收单等能证明相关评审因素的证明材料，否则业绩不予认可。</w:t>
      </w:r>
    </w:p>
    <w:p w14:paraId="7C6073DC">
      <w:pPr>
        <w:spacing w:beforeLines="0" w:afterLines="0"/>
        <w:ind w:firstLine="420" w:firstLineChars="200"/>
        <w:rPr>
          <w:rFonts w:hint="eastAsia" w:ascii="黑体" w:eastAsia="黑体"/>
          <w:color w:val="auto"/>
          <w:sz w:val="21"/>
          <w:szCs w:val="24"/>
        </w:rPr>
      </w:pPr>
      <w:r>
        <w:rPr>
          <w:rFonts w:hint="eastAsia"/>
          <w:color w:val="auto"/>
          <w:sz w:val="21"/>
          <w:szCs w:val="24"/>
        </w:rPr>
        <w:t>④如近年来，响应人法人机构发生合法变更或重组或法人名称变更时，应提供相关部门的合法批件扫描件或其他相关证明材料扫描件来证明其所</w:t>
      </w:r>
      <w:r>
        <w:rPr>
          <w:rFonts w:hint="eastAsia"/>
          <w:color w:val="auto"/>
          <w:sz w:val="21"/>
          <w:szCs w:val="21"/>
        </w:rPr>
        <w:t>附业绩的继承性。</w:t>
      </w:r>
    </w:p>
    <w:p w14:paraId="48B8FA0E">
      <w:pPr>
        <w:spacing w:beforeLines="0" w:afterLines="0"/>
        <w:ind w:firstLine="480" w:firstLineChars="200"/>
        <w:rPr>
          <w:rFonts w:hint="eastAsia" w:ascii="黑体" w:eastAsia="黑体"/>
          <w:color w:val="auto"/>
          <w:sz w:val="24"/>
          <w:szCs w:val="24"/>
        </w:rPr>
      </w:pPr>
    </w:p>
    <w:p w14:paraId="2DB8E045">
      <w:pPr>
        <w:pStyle w:val="8"/>
        <w:spacing w:beforeLines="0" w:afterLines="0"/>
        <w:rPr>
          <w:rFonts w:hint="default"/>
          <w:color w:val="auto"/>
          <w:sz w:val="21"/>
          <w:szCs w:val="24"/>
        </w:rPr>
      </w:pPr>
    </w:p>
    <w:p w14:paraId="3CE238E3">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3</w:t>
      </w:r>
      <w:r>
        <w:rPr>
          <w:rFonts w:hint="eastAsia" w:ascii="黑体" w:eastAsia="黑体"/>
          <w:color w:val="auto"/>
          <w:sz w:val="24"/>
          <w:szCs w:val="24"/>
        </w:rPr>
        <w:t>资格审查条件（信誉最低要求）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B2B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1BC5B2F">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02813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48F7190D">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1.响应人、法定代表人近三年内无行贿犯罪行为。</w:t>
            </w:r>
          </w:p>
          <w:p w14:paraId="454BC1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2.响应人未被人民法院列入失信被执行人（以“信用中国”官网www.creditchina.gov.cn查询为准）。</w:t>
            </w:r>
          </w:p>
          <w:p w14:paraId="35406D07">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3响应人没有正受到责令停业，暂扣或吊销执照，或吊销资质证书。</w:t>
            </w:r>
          </w:p>
          <w:p w14:paraId="1CA68DFE">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4.没有进入清算程序，或被宣告破产，或其他丧失履约能力的情形。</w:t>
            </w:r>
          </w:p>
          <w:p w14:paraId="736BF3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5.没有在国家企业信用信息公示系统（www.gsxt.gov.cn）中被列入严重违法失信企业名单。</w:t>
            </w:r>
          </w:p>
          <w:p w14:paraId="1A6B70D4">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6.没有法律法规规定的其他情形。</w:t>
            </w:r>
          </w:p>
          <w:p w14:paraId="3B98C3D0">
            <w:pPr>
              <w:pStyle w:val="33"/>
              <w:keepNext w:val="0"/>
              <w:keepLines w:val="0"/>
              <w:suppressLineNumbers w:val="0"/>
              <w:spacing w:before="0" w:beforeLines="0" w:beforeAutospacing="0" w:after="0" w:afterLines="0" w:afterAutospacing="0"/>
              <w:ind w:left="0" w:right="0"/>
              <w:rPr>
                <w:rFonts w:hint="eastAsia"/>
                <w:color w:val="auto"/>
                <w:sz w:val="24"/>
                <w:szCs w:val="24"/>
              </w:rPr>
            </w:pPr>
          </w:p>
        </w:tc>
      </w:tr>
    </w:tbl>
    <w:p w14:paraId="2B5B06A7">
      <w:pPr>
        <w:pStyle w:val="33"/>
        <w:spacing w:beforeLines="0" w:afterLines="0"/>
        <w:rPr>
          <w:rFonts w:hint="eastAsia" w:ascii="Times New Roman" w:hAnsi="Times New Roman" w:eastAsia="黑体"/>
          <w:color w:val="auto"/>
          <w:sz w:val="24"/>
          <w:szCs w:val="32"/>
        </w:rPr>
      </w:pPr>
    </w:p>
    <w:p w14:paraId="53DA0F8E">
      <w:pPr>
        <w:pStyle w:val="33"/>
        <w:spacing w:beforeLines="0" w:afterLines="0"/>
        <w:rPr>
          <w:rFonts w:hint="eastAsia" w:ascii="Times New Roman" w:hAnsi="Times New Roman" w:eastAsia="黑体"/>
          <w:color w:val="auto"/>
          <w:sz w:val="24"/>
          <w:szCs w:val="32"/>
        </w:rPr>
      </w:pPr>
    </w:p>
    <w:p w14:paraId="2AB1716A">
      <w:pPr>
        <w:spacing w:beforeLines="0" w:afterLines="0"/>
        <w:jc w:val="center"/>
        <w:rPr>
          <w:rFonts w:hint="eastAsia" w:ascii="黑体" w:eastAsia="黑体"/>
          <w:color w:val="auto"/>
          <w:sz w:val="24"/>
          <w:szCs w:val="24"/>
        </w:rPr>
      </w:pPr>
    </w:p>
    <w:bookmarkEnd w:id="38"/>
    <w:bookmarkEnd w:id="39"/>
    <w:bookmarkEnd w:id="40"/>
    <w:p w14:paraId="0E308B3B">
      <w:pPr>
        <w:keepNext/>
        <w:keepLines/>
        <w:spacing w:before="156" w:beforeLines="50" w:after="156" w:afterLines="50" w:line="360" w:lineRule="auto"/>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总则</w:t>
      </w:r>
    </w:p>
    <w:p w14:paraId="7F76D96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1.1 </w:t>
      </w:r>
      <w:r>
        <w:rPr>
          <w:rFonts w:hint="eastAsia" w:ascii="Times New Roman" w:hAnsi="Times New Roman" w:eastAsia="黑体"/>
          <w:color w:val="auto"/>
          <w:sz w:val="24"/>
          <w:szCs w:val="32"/>
        </w:rPr>
        <w:t>质量要求</w:t>
      </w:r>
    </w:p>
    <w:p w14:paraId="03C877FC">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本合同包的质量要求：见供应商须知前附表。</w:t>
      </w:r>
    </w:p>
    <w:p w14:paraId="48C197C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2</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供应商资格要求</w:t>
      </w:r>
    </w:p>
    <w:p w14:paraId="34248A98">
      <w:pPr>
        <w:spacing w:beforeLines="0" w:afterLines="0" w:line="440" w:lineRule="exact"/>
        <w:ind w:firstLine="420"/>
        <w:rPr>
          <w:rFonts w:hint="eastAsia"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.1</w:t>
      </w:r>
      <w:r>
        <w:rPr>
          <w:rFonts w:hint="eastAsia" w:ascii="Times New Roman" w:hAnsi="Times New Roman"/>
          <w:color w:val="auto"/>
          <w:sz w:val="21"/>
          <w:szCs w:val="21"/>
        </w:rPr>
        <w:t xml:space="preserve"> 供应商应具备承担本合同包供货的资质条件、能力和信誉：见第一章 采购公告要求。 </w:t>
      </w:r>
    </w:p>
    <w:p w14:paraId="372F79FC">
      <w:pPr>
        <w:spacing w:beforeLines="0" w:afterLines="0" w:line="440" w:lineRule="exact"/>
        <w:ind w:firstLine="420"/>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w:t>
      </w:r>
      <w:r>
        <w:rPr>
          <w:rFonts w:hint="eastAsia" w:ascii="Times New Roman" w:hAnsi="Times New Roman"/>
          <w:color w:val="auto"/>
          <w:sz w:val="21"/>
          <w:szCs w:val="21"/>
        </w:rPr>
        <w:t>2</w:t>
      </w:r>
      <w:r>
        <w:rPr>
          <w:rFonts w:hint="default" w:ascii="Times New Roman" w:hAnsi="Times New Roman"/>
          <w:color w:val="auto"/>
          <w:sz w:val="21"/>
          <w:szCs w:val="21"/>
        </w:rPr>
        <w:t xml:space="preserve"> </w:t>
      </w:r>
      <w:r>
        <w:rPr>
          <w:rFonts w:hint="eastAsia" w:ascii="Times New Roman" w:hAnsi="Times New Roman"/>
          <w:color w:val="auto"/>
          <w:sz w:val="21"/>
          <w:szCs w:val="21"/>
        </w:rPr>
        <w:t>其他要求：见供应商须知前附表。</w:t>
      </w:r>
    </w:p>
    <w:p w14:paraId="207B83B2">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1.2.3 是否接受联合体投标：见供应商须知前附表。</w:t>
      </w:r>
    </w:p>
    <w:p w14:paraId="33A07E53">
      <w:pPr>
        <w:spacing w:beforeLines="0" w:afterLines="0" w:line="440" w:lineRule="exact"/>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费用承担</w:t>
      </w:r>
    </w:p>
    <w:p w14:paraId="6EF55D86">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供应商准备和参加询比活动发生的费用自理。</w:t>
      </w:r>
    </w:p>
    <w:p w14:paraId="170472F6">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4</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保密</w:t>
      </w:r>
    </w:p>
    <w:p w14:paraId="7C40A9CD">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8E42AC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5</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计量单位</w:t>
      </w:r>
    </w:p>
    <w:p w14:paraId="4DA35D7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所有计量均采用中华人民共和国法定计量单位。</w:t>
      </w:r>
    </w:p>
    <w:p w14:paraId="16CA8AA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6</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踏勘现场</w:t>
      </w:r>
    </w:p>
    <w:p w14:paraId="4E267C3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供应商自行踏勘现场且费用自理。</w:t>
      </w:r>
    </w:p>
    <w:p w14:paraId="428B236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7</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分包</w:t>
      </w:r>
    </w:p>
    <w:p w14:paraId="2E5B987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不允许分包。</w:t>
      </w:r>
    </w:p>
    <w:p w14:paraId="3AE77BC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8</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偏差</w:t>
      </w:r>
    </w:p>
    <w:p w14:paraId="2DB4365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.1</w:t>
      </w:r>
      <w:r>
        <w:rPr>
          <w:rFonts w:hint="eastAsia" w:ascii="Times New Roman" w:hAnsi="Times New Roman"/>
          <w:color w:val="auto"/>
          <w:sz w:val="21"/>
          <w:szCs w:val="24"/>
        </w:rPr>
        <w:t xml:space="preserve"> 偏差包括重大偏差和细微偏差。</w:t>
      </w:r>
    </w:p>
    <w:p w14:paraId="3475C07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响应文件存在“评审办法”中所列任一否决响应文件情形的，均属于存在重大偏差，响应文件将被否决。</w:t>
      </w:r>
    </w:p>
    <w:p w14:paraId="4A2B8176">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询比文件</w:t>
      </w:r>
    </w:p>
    <w:p w14:paraId="2A70C61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询比文件的组成</w:t>
      </w:r>
    </w:p>
    <w:p w14:paraId="6A3484E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本询比文件包括：</w:t>
      </w:r>
    </w:p>
    <w:p w14:paraId="5F91D2B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（1）采购公告；</w:t>
      </w:r>
    </w:p>
    <w:p w14:paraId="76645C9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（2）供应商须知；</w:t>
      </w:r>
    </w:p>
    <w:p w14:paraId="4B19AA2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（3）评审办法；</w:t>
      </w:r>
    </w:p>
    <w:p w14:paraId="3C38758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（4）合同内容；</w:t>
      </w:r>
    </w:p>
    <w:p w14:paraId="24C779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w:t>
      </w:r>
      <w:r>
        <w:rPr>
          <w:rFonts w:hint="eastAsia" w:ascii="Times New Roman" w:hAnsi="Times New Roman"/>
          <w:color w:val="auto"/>
          <w:sz w:val="21"/>
          <w:szCs w:val="24"/>
          <w:lang w:val="en-US" w:eastAsia="zh-CN"/>
        </w:rPr>
        <w:t>采购需求</w:t>
      </w:r>
      <w:r>
        <w:rPr>
          <w:rFonts w:hint="eastAsia" w:ascii="Times New Roman" w:hAnsi="Times New Roman"/>
          <w:color w:val="auto"/>
          <w:sz w:val="21"/>
          <w:szCs w:val="24"/>
        </w:rPr>
        <w:t>及清单；</w:t>
      </w:r>
    </w:p>
    <w:p w14:paraId="5C90AE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（6）响应文件格式。</w:t>
      </w:r>
    </w:p>
    <w:p w14:paraId="4681A9D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根据本章对询比文件所作的澄清、修改，构成询比文件的组成部分。</w:t>
      </w:r>
    </w:p>
    <w:p w14:paraId="3179886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0CE1F2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2.2 </w:t>
      </w:r>
      <w:r>
        <w:rPr>
          <w:rFonts w:hint="eastAsia" w:ascii="Times New Roman" w:hAnsi="Times New Roman" w:eastAsia="黑体"/>
          <w:color w:val="auto"/>
          <w:sz w:val="24"/>
          <w:szCs w:val="32"/>
        </w:rPr>
        <w:t>询比文件的澄清与修改</w:t>
      </w:r>
    </w:p>
    <w:p w14:paraId="1D6F411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2.2.1</w:t>
      </w:r>
      <w:r>
        <w:rPr>
          <w:rFonts w:hint="eastAsia" w:ascii="Times New Roman" w:hAnsi="Times New Roman"/>
          <w:color w:val="auto"/>
          <w:sz w:val="21"/>
          <w:szCs w:val="24"/>
        </w:rPr>
        <w:t xml:space="preserve"> 供应商如有疑问，应在递交响应文件的截止时间前3日前通过“安徽交控建设工程集团有限公司”官网平台联系采购人对询比文件予以澄清或修改。</w:t>
      </w:r>
    </w:p>
    <w:p w14:paraId="75075CEB">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14:paraId="4029E54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响应文件</w:t>
      </w:r>
    </w:p>
    <w:p w14:paraId="4C03398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3.1</w:t>
      </w:r>
      <w:r>
        <w:rPr>
          <w:rFonts w:hint="eastAsia" w:ascii="Times New Roman" w:hAnsi="Times New Roman" w:eastAsia="黑体"/>
          <w:color w:val="auto"/>
          <w:sz w:val="24"/>
          <w:szCs w:val="32"/>
        </w:rPr>
        <w:t>响应文件的组成</w:t>
      </w:r>
    </w:p>
    <w:p w14:paraId="180FC9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响应文件应包括下列内容：</w:t>
      </w:r>
    </w:p>
    <w:p w14:paraId="1A593DC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1.报价函</w:t>
      </w:r>
    </w:p>
    <w:p w14:paraId="2279673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w:t>
      </w:r>
      <w:r>
        <w:rPr>
          <w:rFonts w:hint="eastAsia" w:ascii="宋体" w:hAnsi="宋体" w:cs="宋体"/>
          <w:color w:val="auto"/>
          <w:sz w:val="21"/>
          <w:szCs w:val="24"/>
        </w:rPr>
        <w:t>法定代表人身份证明及授权委托书</w:t>
      </w:r>
    </w:p>
    <w:p w14:paraId="78AE4DF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3.已标价的报价清单</w:t>
      </w:r>
    </w:p>
    <w:p w14:paraId="5A5386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4.供应商基本情况</w:t>
      </w:r>
    </w:p>
    <w:p w14:paraId="736D7F2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5.近年类似业绩情况</w:t>
      </w:r>
    </w:p>
    <w:p w14:paraId="5E19B7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6.信誉情况</w:t>
      </w:r>
    </w:p>
    <w:p w14:paraId="556AF68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7.其它材料</w:t>
      </w:r>
    </w:p>
    <w:p w14:paraId="57B508D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3.2 </w:t>
      </w:r>
      <w:r>
        <w:rPr>
          <w:rFonts w:hint="eastAsia" w:ascii="Times New Roman" w:hAnsi="Times New Roman" w:eastAsia="黑体"/>
          <w:color w:val="auto"/>
          <w:sz w:val="24"/>
          <w:szCs w:val="32"/>
        </w:rPr>
        <w:t xml:space="preserve">报价要求 </w:t>
      </w:r>
    </w:p>
    <w:p w14:paraId="2F0E97E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3.2.1 </w:t>
      </w:r>
      <w:r>
        <w:rPr>
          <w:rFonts w:hint="eastAsia" w:ascii="Times New Roman" w:hAnsi="Times New Roman"/>
          <w:color w:val="auto"/>
          <w:sz w:val="21"/>
          <w:szCs w:val="24"/>
        </w:rPr>
        <w:t>报价应包括国家规定的增值税税金。</w:t>
      </w:r>
    </w:p>
    <w:p w14:paraId="0EAB451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3.2.2 供应商应按第六章“响应文件格式”的要求在报价函中进行报价并填写工程量清单相应表格。</w:t>
      </w:r>
    </w:p>
    <w:p w14:paraId="4448682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3</w:t>
      </w:r>
      <w:r>
        <w:rPr>
          <w:rFonts w:hint="default" w:ascii="Times New Roman" w:hAnsi="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w:t>
      </w:r>
    </w:p>
    <w:p w14:paraId="128825C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 xml:space="preserve">  见供应商须知前附表  </w:t>
      </w:r>
      <w:r>
        <w:rPr>
          <w:rFonts w:hint="eastAsia" w:ascii="Times New Roman" w:hAnsi="Times New Roman"/>
          <w:color w:val="auto"/>
          <w:sz w:val="21"/>
          <w:szCs w:val="24"/>
        </w:rPr>
        <w:t>。</w:t>
      </w:r>
    </w:p>
    <w:p w14:paraId="0495F76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1"/>
        </w:rPr>
        <w:t>见供应商须知前附表</w:t>
      </w:r>
      <w:r>
        <w:rPr>
          <w:rFonts w:hint="eastAsia" w:ascii="Times New Roman" w:hAnsi="Times New Roman"/>
          <w:color w:val="auto"/>
          <w:sz w:val="21"/>
          <w:szCs w:val="24"/>
        </w:rPr>
        <w:t>。</w:t>
      </w:r>
    </w:p>
    <w:p w14:paraId="49F5D85D">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3.3</w:t>
      </w:r>
      <w:r>
        <w:rPr>
          <w:rFonts w:hint="eastAsia" w:ascii="Times New Roman" w:hAnsi="Times New Roman" w:eastAsia="黑体"/>
          <w:color w:val="auto"/>
          <w:sz w:val="24"/>
          <w:szCs w:val="32"/>
        </w:rPr>
        <w:t>响应有效期</w:t>
      </w:r>
    </w:p>
    <w:p w14:paraId="72E1396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default" w:ascii="Times New Roman" w:hAnsi="Times New Roman"/>
          <w:color w:val="auto"/>
          <w:sz w:val="21"/>
          <w:szCs w:val="21"/>
        </w:rPr>
        <w:t>0</w:t>
      </w:r>
      <w:r>
        <w:rPr>
          <w:rFonts w:hint="eastAsia" w:ascii="Times New Roman" w:hAnsi="Times New Roman"/>
          <w:color w:val="auto"/>
          <w:sz w:val="21"/>
          <w:szCs w:val="24"/>
        </w:rPr>
        <w:t>日。</w:t>
      </w:r>
    </w:p>
    <w:p w14:paraId="0C9D8CC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D07A2C0">
      <w:pPr>
        <w:keepNext/>
        <w:keepLines/>
        <w:spacing w:before="120" w:beforeLines="0" w:after="120" w:afterLines="0" w:line="415" w:lineRule="auto"/>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3.4</w:t>
      </w:r>
      <w:r>
        <w:rPr>
          <w:rFonts w:hint="eastAsia" w:ascii="Times New Roman" w:hAnsi="Times New Roman" w:eastAsia="黑体"/>
          <w:color w:val="auto"/>
          <w:sz w:val="24"/>
          <w:szCs w:val="32"/>
        </w:rPr>
        <w:t>响应保证金</w:t>
      </w:r>
    </w:p>
    <w:p w14:paraId="60DB19B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3CAD0FE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5EFBC10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27C2EBBB">
      <w:pPr>
        <w:spacing w:beforeLines="0" w:afterLines="0" w:line="440" w:lineRule="exact"/>
        <w:ind w:firstLine="420"/>
        <w:rPr>
          <w:rFonts w:hint="default" w:ascii="Times New Roman" w:hAnsi="Times New Roman"/>
          <w:color w:val="auto"/>
          <w:sz w:val="21"/>
          <w:szCs w:val="24"/>
          <w:highlight w:val="yellow"/>
        </w:rPr>
      </w:pPr>
      <w:r>
        <w:rPr>
          <w:rFonts w:hint="default" w:ascii="Times New Roman" w:hAnsi="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采购人在与成交人签订合同后10日内办理退还响应保证金手续。</w:t>
      </w:r>
    </w:p>
    <w:p w14:paraId="3C5A5A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A47874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（1）供应商在规定的响应有效期内撤销其响应文件；</w:t>
      </w:r>
    </w:p>
    <w:p w14:paraId="0E196E3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8B40A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供应商须知前附表规定的其他情形</w:t>
      </w:r>
      <w:r>
        <w:rPr>
          <w:rFonts w:hint="eastAsia" w:ascii="Times New Roman" w:hAnsi="Times New Roman"/>
          <w:color w:val="auto"/>
          <w:sz w:val="21"/>
          <w:szCs w:val="24"/>
        </w:rPr>
        <w:t>。</w:t>
      </w:r>
    </w:p>
    <w:p w14:paraId="02E7628C">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3.5</w:t>
      </w:r>
      <w:r>
        <w:rPr>
          <w:rFonts w:hint="eastAsia" w:ascii="Times New Roman" w:hAnsi="Times New Roman" w:eastAsia="黑体"/>
          <w:color w:val="auto"/>
          <w:sz w:val="24"/>
          <w:szCs w:val="32"/>
        </w:rPr>
        <w:t>资格审查资料</w:t>
      </w:r>
    </w:p>
    <w:p w14:paraId="5FB771F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供应商应按“响应文件格式”的规定提供资格审查资料，以证明其满足本章第1.2款规定的资质、能力、信誉等要求。</w:t>
      </w:r>
    </w:p>
    <w:p w14:paraId="397378A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6响应文件的编制</w:t>
      </w:r>
    </w:p>
    <w:p w14:paraId="5A7FF17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2629814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响应文件应当对询比文件有关工期、响应有效期、质量要求、技术标准和要求、采购范围等实质性内容作出响应。</w:t>
      </w:r>
    </w:p>
    <w:p w14:paraId="10F6FCA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.3</w:t>
      </w:r>
      <w:r>
        <w:rPr>
          <w:rFonts w:hint="eastAsia" w:ascii="Times New Roman" w:hAnsi="Times New Roman"/>
          <w:color w:val="auto"/>
          <w:sz w:val="21"/>
          <w:szCs w:val="24"/>
        </w:rPr>
        <w:t>响应文件的制作应满足以下规定：</w:t>
      </w:r>
    </w:p>
    <w:p w14:paraId="7219CF5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24CE8D7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（2）响应文件正本一份，副本一份。正本和副本的封面右上角上应清楚地标记“正本”和“副本”的字样。当副本与正本不一致时，以正本文件为准。</w:t>
      </w:r>
    </w:p>
    <w:p w14:paraId="11122D8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（3）响应文件的正本与副本应分别装订。</w:t>
      </w:r>
    </w:p>
    <w:p w14:paraId="5E543E3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（4）响应文件其他要求见供应商须知前附表。</w:t>
      </w:r>
    </w:p>
    <w:p w14:paraId="3E07A6C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 </w:t>
      </w:r>
      <w:r>
        <w:rPr>
          <w:rFonts w:hint="eastAsia" w:ascii="Times New Roman" w:hAnsi="Times New Roman" w:eastAsia="黑体"/>
          <w:color w:val="auto"/>
          <w:sz w:val="24"/>
          <w:szCs w:val="32"/>
        </w:rPr>
        <w:t>响应文件的递交</w:t>
      </w:r>
    </w:p>
    <w:p w14:paraId="791A2B6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4.1</w:t>
      </w:r>
      <w:r>
        <w:rPr>
          <w:rFonts w:hint="eastAsia" w:ascii="Times New Roman" w:hAnsi="Times New Roman" w:eastAsia="黑体"/>
          <w:color w:val="auto"/>
          <w:sz w:val="24"/>
          <w:szCs w:val="32"/>
        </w:rPr>
        <w:t>响应文件的密封和标记</w:t>
      </w:r>
    </w:p>
    <w:p w14:paraId="020A86B2">
      <w:pPr>
        <w:spacing w:beforeLines="0" w:afterLines="0" w:line="440" w:lineRule="exact"/>
        <w:ind w:firstLine="420"/>
        <w:rPr>
          <w:rFonts w:hint="default" w:ascii="Times New Roman" w:hAnsi="Times New Roman"/>
          <w:b/>
          <w:color w:val="auto"/>
          <w:sz w:val="21"/>
          <w:szCs w:val="24"/>
          <w:highlight w:val="yellow"/>
        </w:rPr>
      </w:pPr>
      <w:r>
        <w:rPr>
          <w:rFonts w:hint="default" w:ascii="Times New Roman" w:hAnsi="Times New Roman"/>
          <w:b/>
          <w:color w:val="auto"/>
          <w:sz w:val="21"/>
          <w:szCs w:val="24"/>
          <w:highlight w:val="yellow"/>
        </w:rPr>
        <w:t>4.1.1</w:t>
      </w:r>
      <w:r>
        <w:rPr>
          <w:rFonts w:hint="eastAsia" w:ascii="Times New Roman" w:hAnsi="Times New Roman"/>
          <w:b/>
          <w:color w:val="auto"/>
          <w:sz w:val="21"/>
          <w:szCs w:val="24"/>
          <w:highlight w:val="yellow"/>
        </w:rPr>
        <w:t>响应文件正、副本应密封包装在一个封套内开密封。</w:t>
      </w:r>
    </w:p>
    <w:p w14:paraId="67B30C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响应文件封套上注明：</w:t>
      </w:r>
    </w:p>
    <w:p w14:paraId="2F3D9D03">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3E22194A">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)响应文件</w:t>
      </w:r>
    </w:p>
    <w:p w14:paraId="2D4F022B">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7B3623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4.1.2</w:t>
      </w:r>
      <w:r>
        <w:rPr>
          <w:rFonts w:hint="eastAsia" w:ascii="Times New Roman" w:hAnsi="Times New Roman"/>
          <w:color w:val="auto"/>
          <w:sz w:val="21"/>
          <w:szCs w:val="24"/>
        </w:rPr>
        <w:t>未按本章第4.1.1项要求密封的响应文件，采购人将予以拒收。</w:t>
      </w:r>
    </w:p>
    <w:p w14:paraId="2500E32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4.2 </w:t>
      </w:r>
      <w:r>
        <w:rPr>
          <w:rFonts w:hint="eastAsia" w:ascii="Times New Roman" w:hAnsi="Times New Roman" w:eastAsia="黑体"/>
          <w:color w:val="auto"/>
          <w:sz w:val="24"/>
          <w:szCs w:val="32"/>
        </w:rPr>
        <w:t>响应文件的递交</w:t>
      </w:r>
    </w:p>
    <w:p w14:paraId="532BA63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4.2.1</w:t>
      </w:r>
      <w:r>
        <w:rPr>
          <w:rFonts w:hint="eastAsia" w:ascii="Times New Roman" w:hAnsi="Times New Roman"/>
          <w:color w:val="auto"/>
          <w:sz w:val="21"/>
          <w:szCs w:val="24"/>
        </w:rPr>
        <w:t>供应商应当按照第一章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0FBEF58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73E35DA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4.2.3 除第4.2.2项规定外，供应商所递交的响应文件不予退还。</w:t>
      </w:r>
    </w:p>
    <w:p w14:paraId="18CCB6C3">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 </w:t>
      </w:r>
      <w:r>
        <w:rPr>
          <w:rFonts w:hint="eastAsia" w:ascii="Times New Roman" w:hAnsi="Times New Roman" w:eastAsia="黑体"/>
          <w:color w:val="auto"/>
          <w:sz w:val="24"/>
          <w:szCs w:val="32"/>
        </w:rPr>
        <w:t>启封</w:t>
      </w:r>
    </w:p>
    <w:p w14:paraId="264585F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5.1 </w:t>
      </w:r>
      <w:r>
        <w:rPr>
          <w:rFonts w:hint="eastAsia" w:ascii="Times New Roman" w:hAnsi="Times New Roman" w:eastAsia="黑体"/>
          <w:color w:val="auto"/>
          <w:sz w:val="24"/>
          <w:szCs w:val="32"/>
        </w:rPr>
        <w:t>启封时间和地点</w:t>
      </w:r>
    </w:p>
    <w:p w14:paraId="7392F0D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采购人在本章第4.2.1项规定的响应文件递交截止时间（启封时间），按照第一章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55870C3E">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1810270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5.2</w:t>
      </w:r>
      <w:r>
        <w:rPr>
          <w:rFonts w:hint="eastAsia" w:ascii="Times New Roman" w:hAnsi="Times New Roman" w:eastAsia="黑体"/>
          <w:color w:val="auto"/>
          <w:sz w:val="24"/>
          <w:szCs w:val="32"/>
        </w:rPr>
        <w:t>启封程序</w:t>
      </w:r>
    </w:p>
    <w:p w14:paraId="26773FB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5.2.1</w:t>
      </w:r>
      <w:r>
        <w:rPr>
          <w:rFonts w:hint="eastAsia" w:ascii="Times New Roman" w:hAnsi="Times New Roman"/>
          <w:color w:val="auto"/>
          <w:sz w:val="21"/>
          <w:szCs w:val="24"/>
        </w:rPr>
        <w:t xml:space="preserve">主持人按下列程序进行启封： </w:t>
      </w:r>
    </w:p>
    <w:p w14:paraId="5B2C7DE8">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4ABA03A2">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3960C31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（3）开启报价文件；</w:t>
      </w:r>
    </w:p>
    <w:p w14:paraId="79CA68AB">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（4）启封结束。</w:t>
      </w:r>
    </w:p>
    <w:p w14:paraId="71DA131C">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4E281F68">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6. </w:t>
      </w:r>
      <w:r>
        <w:rPr>
          <w:rFonts w:hint="eastAsia" w:ascii="Times New Roman" w:hAnsi="Times New Roman" w:eastAsia="黑体"/>
          <w:color w:val="auto"/>
          <w:sz w:val="24"/>
          <w:szCs w:val="32"/>
        </w:rPr>
        <w:t>评审</w:t>
      </w:r>
    </w:p>
    <w:p w14:paraId="67B128B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6.1</w:t>
      </w:r>
      <w:r>
        <w:rPr>
          <w:rFonts w:hint="eastAsia" w:ascii="Times New Roman" w:hAnsi="Times New Roman" w:eastAsia="黑体"/>
          <w:color w:val="auto"/>
          <w:sz w:val="24"/>
          <w:szCs w:val="32"/>
        </w:rPr>
        <w:t>评审小组</w:t>
      </w:r>
    </w:p>
    <w:p w14:paraId="27C282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评审由采购人自行组建的评审小组负责。评审小组人数：3人及以上单数。</w:t>
      </w:r>
    </w:p>
    <w:p w14:paraId="543F1B5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w:t>
      </w:r>
      <w:r>
        <w:rPr>
          <w:rFonts w:hint="eastAsia" w:ascii="Times New Roman" w:hAnsi="Times New Roman" w:eastAsia="黑体"/>
          <w:color w:val="auto"/>
          <w:sz w:val="24"/>
          <w:szCs w:val="32"/>
        </w:rPr>
        <w:t>2评审</w:t>
      </w:r>
    </w:p>
    <w:p w14:paraId="7F4F214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.1</w:t>
      </w:r>
      <w:r>
        <w:rPr>
          <w:rFonts w:hint="eastAsia" w:ascii="Times New Roman" w:hAnsi="Times New Roman"/>
          <w:color w:val="auto"/>
          <w:sz w:val="21"/>
          <w:szCs w:val="24"/>
        </w:rPr>
        <w:t>评审小组按照第三章“评审办法”规定的方法、评审因素、标准和程序对响应文件进行评审。</w:t>
      </w:r>
    </w:p>
    <w:p w14:paraId="2A3386A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w:t>
      </w:r>
    </w:p>
    <w:p w14:paraId="7790282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7. </w:t>
      </w:r>
      <w:r>
        <w:rPr>
          <w:rFonts w:hint="eastAsia" w:ascii="Times New Roman" w:hAnsi="Times New Roman" w:eastAsia="黑体"/>
          <w:color w:val="auto"/>
          <w:sz w:val="24"/>
          <w:szCs w:val="32"/>
        </w:rPr>
        <w:t>合同授予</w:t>
      </w:r>
    </w:p>
    <w:p w14:paraId="4392AE1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7.1</w:t>
      </w:r>
      <w:r>
        <w:rPr>
          <w:rFonts w:hint="eastAsia" w:ascii="Times New Roman" w:hAnsi="Times New Roman" w:eastAsia="黑体"/>
          <w:color w:val="auto"/>
          <w:sz w:val="24"/>
          <w:szCs w:val="32"/>
        </w:rPr>
        <w:t>成交候选人公示</w:t>
      </w:r>
    </w:p>
    <w:p w14:paraId="0CE197C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采用公开询比方式采购的项目，公示期不得少于3日。</w:t>
      </w:r>
    </w:p>
    <w:p w14:paraId="15C98FC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7.2</w:t>
      </w:r>
      <w:r>
        <w:rPr>
          <w:rFonts w:hint="eastAsia" w:ascii="Times New Roman" w:hAnsi="Times New Roman" w:eastAsia="黑体"/>
          <w:color w:val="auto"/>
          <w:sz w:val="24"/>
          <w:szCs w:val="32"/>
        </w:rPr>
        <w:t>评审结果异议</w:t>
      </w:r>
    </w:p>
    <w:p w14:paraId="071A8486">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D6331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7.3</w:t>
      </w:r>
      <w:r>
        <w:rPr>
          <w:rFonts w:hint="eastAsia" w:ascii="Times New Roman" w:hAnsi="Times New Roman" w:eastAsia="黑体"/>
          <w:color w:val="auto"/>
          <w:sz w:val="24"/>
          <w:szCs w:val="32"/>
        </w:rPr>
        <w:t>成交候选人履约能力审查</w:t>
      </w:r>
    </w:p>
    <w:p w14:paraId="127D8B45">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63A5E72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7.4</w:t>
      </w:r>
      <w:r>
        <w:rPr>
          <w:rFonts w:hint="eastAsia" w:ascii="Times New Roman" w:hAnsi="Times New Roman" w:eastAsia="黑体"/>
          <w:color w:val="auto"/>
          <w:sz w:val="24"/>
          <w:szCs w:val="32"/>
        </w:rPr>
        <w:t>履约保证金</w:t>
      </w:r>
    </w:p>
    <w:p w14:paraId="4E0D6E42">
      <w:pPr>
        <w:spacing w:beforeLines="0" w:afterLines="0" w:line="440" w:lineRule="exact"/>
        <w:ind w:firstLine="420" w:firstLineChars="200"/>
        <w:rPr>
          <w:rFonts w:hint="eastAsia" w:ascii="Times New Roman" w:hAnsi="Times New Roman"/>
          <w:color w:val="000000" w:themeColor="text1"/>
          <w:sz w:val="21"/>
          <w:szCs w:val="24"/>
          <w:lang w:val="en-US" w:eastAsia="zh-CN"/>
          <w14:textFill>
            <w14:solidFill>
              <w14:schemeClr w14:val="tx1"/>
            </w14:solidFill>
          </w14:textFill>
        </w:rPr>
      </w:pPr>
      <w:r>
        <w:rPr>
          <w:rFonts w:hint="default" w:ascii="Times New Roman" w:hAnsi="Times New Roman"/>
          <w:color w:val="000000" w:themeColor="text1"/>
          <w:sz w:val="21"/>
          <w:szCs w:val="24"/>
          <w14:textFill>
            <w14:solidFill>
              <w14:schemeClr w14:val="tx1"/>
            </w14:solidFill>
          </w14:textFill>
        </w:rPr>
        <w:t>7.4.1</w:t>
      </w:r>
      <w:r>
        <w:rPr>
          <w:rFonts w:hint="eastAsia" w:ascii="Times New Roman" w:hAnsi="Times New Roman"/>
          <w:color w:val="000000" w:themeColor="text1"/>
          <w:sz w:val="21"/>
          <w:szCs w:val="24"/>
          <w:lang w:val="en-US" w:eastAsia="zh-CN"/>
          <w14:textFill>
            <w14:solidFill>
              <w14:schemeClr w14:val="tx1"/>
            </w14:solidFill>
          </w14:textFill>
        </w:rPr>
        <w:t>成交候选人</w:t>
      </w:r>
      <w:r>
        <w:rPr>
          <w:rFonts w:hint="eastAsia" w:ascii="Times New Roman" w:hAnsi="Times New Roman"/>
          <w:color w:val="000000" w:themeColor="text1"/>
          <w:sz w:val="21"/>
          <w:szCs w:val="24"/>
          <w:lang w:eastAsia="zh-CN"/>
          <w14:textFill>
            <w14:solidFill>
              <w14:schemeClr w14:val="tx1"/>
            </w14:solidFill>
          </w14:textFill>
        </w:rPr>
        <w:t>公示后，</w:t>
      </w:r>
      <w:r>
        <w:rPr>
          <w:rFonts w:hint="eastAsia" w:ascii="Times New Roman" w:hAnsi="Times New Roman"/>
          <w:color w:val="000000" w:themeColor="text1"/>
          <w:sz w:val="21"/>
          <w:szCs w:val="24"/>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35491C2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 xml:space="preserve">7.4.2 </w:t>
      </w:r>
      <w:r>
        <w:rPr>
          <w:rFonts w:hint="eastAsia" w:ascii="Times New Roman" w:hAnsi="Times New Roman"/>
          <w:color w:val="auto"/>
          <w:sz w:val="21"/>
          <w:szCs w:val="24"/>
        </w:rPr>
        <w:t>成交人不能按本章第7.4</w:t>
      </w:r>
      <w:r>
        <w:rPr>
          <w:rFonts w:hint="default" w:ascii="Times New Roman" w:hAnsi="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38FDA752">
      <w:pPr>
        <w:pStyle w:val="8"/>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4"/>
        </w:rPr>
        <w:t>7.4.3履约保证金在</w:t>
      </w:r>
      <w:r>
        <w:rPr>
          <w:rFonts w:hint="eastAsia" w:ascii="宋体" w:hAnsi="宋体" w:cs="宋体"/>
          <w:color w:val="auto"/>
          <w:sz w:val="21"/>
          <w:szCs w:val="21"/>
        </w:rPr>
        <w:t>该项目物资供应整体验收完成后28天内无息退还。</w:t>
      </w:r>
    </w:p>
    <w:p w14:paraId="38AD15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7.5</w:t>
      </w:r>
      <w:r>
        <w:rPr>
          <w:rFonts w:hint="eastAsia" w:ascii="Times New Roman" w:hAnsi="Times New Roman" w:eastAsia="黑体"/>
          <w:color w:val="auto"/>
          <w:sz w:val="24"/>
          <w:szCs w:val="32"/>
        </w:rPr>
        <w:t>签订合同</w:t>
      </w:r>
    </w:p>
    <w:p w14:paraId="1018732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211821FE">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8. </w:t>
      </w:r>
      <w:r>
        <w:rPr>
          <w:rFonts w:hint="eastAsia" w:ascii="Times New Roman" w:hAnsi="Times New Roman" w:eastAsia="黑体"/>
          <w:color w:val="auto"/>
          <w:sz w:val="24"/>
          <w:szCs w:val="32"/>
        </w:rPr>
        <w:t>纪律和监督</w:t>
      </w:r>
    </w:p>
    <w:p w14:paraId="44ABCAA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8.1 对采购人的纪律要求</w:t>
      </w:r>
    </w:p>
    <w:p w14:paraId="628C3E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采购人不得泄露采购活动中应当保密的情况和资料， 不得与响应供应商串通损害国家利益、社会公共利益或者他人合法权益。</w:t>
      </w:r>
    </w:p>
    <w:p w14:paraId="53AF38F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8.2对响应供应商的纪律要求</w:t>
      </w:r>
    </w:p>
    <w:p w14:paraId="4A5019E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048344A6">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8.3 对评审小组成员的纪律要求</w:t>
      </w:r>
    </w:p>
    <w:p w14:paraId="1D0AB6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成员不得收受他人的财物或者其他好处，不得向他人透露对响应文件的评审和比较、成交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2F608BD3">
      <w:pPr>
        <w:keepNext/>
        <w:keepLines/>
        <w:spacing w:before="156" w:beforeLines="50" w:after="156" w:afterLines="50"/>
        <w:outlineLvl w:val="1"/>
        <w:rPr>
          <w:rFonts w:hint="default" w:ascii="Times New Roman" w:hAnsi="Times New Roman" w:eastAsia="黑体"/>
          <w:color w:val="auto"/>
          <w:sz w:val="24"/>
          <w:szCs w:val="32"/>
        </w:rPr>
      </w:pPr>
      <w:r>
        <w:rPr>
          <w:rFonts w:hint="eastAsia" w:ascii="Times New Roman" w:hAnsi="Times New Roman" w:eastAsia="黑体"/>
          <w:color w:val="auto"/>
          <w:sz w:val="24"/>
          <w:szCs w:val="32"/>
        </w:rPr>
        <w:t>9. 需要补充的其他内容</w:t>
      </w:r>
    </w:p>
    <w:p w14:paraId="4CC1AA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需要补充的其他内容：见供应商须知前附表。</w:t>
      </w:r>
    </w:p>
    <w:p w14:paraId="003BC59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br w:type="page"/>
      </w:r>
    </w:p>
    <w:p w14:paraId="69E5199E">
      <w:pPr>
        <w:pStyle w:val="2"/>
        <w:spacing w:before="312" w:after="312"/>
        <w:ind w:firstLine="0"/>
        <w:rPr>
          <w:rFonts w:hint="eastAsia" w:ascii="Times New Roman" w:hAnsi="Times New Roman" w:eastAsia="Times New Roman"/>
          <w:color w:val="auto"/>
          <w:sz w:val="36"/>
          <w:szCs w:val="44"/>
        </w:rPr>
      </w:pPr>
      <w:bookmarkStart w:id="46" w:name="_Toc26736"/>
      <w:bookmarkStart w:id="47" w:name="_Toc27729"/>
      <w:r>
        <w:rPr>
          <w:rFonts w:hint="eastAsia" w:ascii="Times New Roman" w:hAnsi="Times New Roman" w:eastAsia="宋体"/>
          <w:color w:val="auto"/>
          <w:sz w:val="36"/>
          <w:szCs w:val="44"/>
        </w:rPr>
        <w:t>评审办法</w:t>
      </w:r>
      <w:bookmarkEnd w:id="46"/>
      <w:bookmarkEnd w:id="47"/>
    </w:p>
    <w:p w14:paraId="5A1EF2DF">
      <w:pPr>
        <w:spacing w:beforeLines="0" w:afterLines="0"/>
        <w:rPr>
          <w:rFonts w:hint="eastAsia" w:ascii="Times New Roman" w:hAnsi="Times New Roman" w:eastAsia="Times New Roman"/>
          <w:color w:val="auto"/>
          <w:sz w:val="21"/>
          <w:szCs w:val="24"/>
        </w:rPr>
        <w:sectPr>
          <w:footerReference r:id="rId4"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p>
    <w:p w14:paraId="52B51126">
      <w:pPr>
        <w:spacing w:beforeLines="0" w:after="312" w:afterLines="100" w:line="420" w:lineRule="exact"/>
        <w:jc w:val="center"/>
        <w:rPr>
          <w:rFonts w:hint="default" w:ascii="Times New Roman" w:hAnsi="Times New Roman" w:eastAsia="黑体"/>
          <w:color w:val="auto"/>
          <w:sz w:val="28"/>
          <w:szCs w:val="28"/>
          <w:highlight w:val="none"/>
        </w:rPr>
      </w:pPr>
      <w:bookmarkStart w:id="48" w:name="_Toc25343"/>
      <w:r>
        <w:rPr>
          <w:rFonts w:hint="eastAsia" w:ascii="Times New Roman" w:hAnsi="Times New Roman" w:eastAsia="黑体"/>
          <w:color w:val="auto"/>
          <w:sz w:val="28"/>
          <w:szCs w:val="28"/>
          <w:highlight w:val="none"/>
        </w:rPr>
        <w:t>评审办法前附表</w:t>
      </w:r>
      <w:r>
        <w:rPr>
          <w:rFonts w:hint="eastAsia" w:ascii="Times New Roman" w:hAnsi="Times New Roman" w:eastAsia="黑体"/>
          <w:color w:val="auto"/>
          <w:sz w:val="28"/>
          <w:szCs w:val="28"/>
          <w:highlight w:val="yellow"/>
        </w:rPr>
        <w:t>（最低价法）</w:t>
      </w:r>
    </w:p>
    <w:p w14:paraId="3ED3161A">
      <w:pPr>
        <w:keepNext/>
        <w:keepLines/>
        <w:spacing w:beforeLines="0" w:afterLines="0" w:line="400" w:lineRule="exact"/>
        <w:rPr>
          <w:rFonts w:hint="eastAsia" w:ascii="宋体" w:hAnsi="宋体" w:cs="宋体"/>
          <w:b/>
          <w:color w:val="auto"/>
          <w:kern w:val="0"/>
          <w:sz w:val="28"/>
          <w:szCs w:val="28"/>
        </w:rPr>
      </w:pPr>
      <w:bookmarkStart w:id="49" w:name="_Toc457482536"/>
      <w:bookmarkStart w:id="50" w:name="_Toc152042304"/>
      <w:bookmarkStart w:id="51" w:name="_Toc447808662"/>
      <w:bookmarkStart w:id="52" w:name="_Toc144974496"/>
      <w:bookmarkStart w:id="53" w:name="_Toc152045528"/>
      <w:bookmarkStart w:id="54" w:name="_Toc14847"/>
      <w:bookmarkStart w:id="55" w:name="_Toc3834"/>
      <w:r>
        <w:rPr>
          <w:rFonts w:hint="eastAsia" w:ascii="宋体" w:hAnsi="宋体" w:cs="宋体"/>
          <w:b/>
          <w:color w:val="auto"/>
          <w:kern w:val="0"/>
          <w:sz w:val="28"/>
          <w:szCs w:val="28"/>
        </w:rPr>
        <w:t>前附表</w:t>
      </w:r>
      <w:bookmarkEnd w:id="49"/>
      <w:bookmarkEnd w:id="50"/>
      <w:bookmarkEnd w:id="51"/>
      <w:bookmarkEnd w:id="52"/>
      <w:bookmarkEnd w:id="53"/>
      <w:bookmarkEnd w:id="54"/>
      <w:bookmarkEnd w:id="55"/>
      <w:r>
        <w:rPr>
          <w:rFonts w:hint="eastAsia" w:ascii="宋体" w:hAnsi="宋体" w:cs="宋体"/>
          <w:b/>
          <w:color w:val="auto"/>
          <w:kern w:val="0"/>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7681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4596A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CBC9B">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评审因素</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A452BA">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评审标准</w:t>
            </w:r>
          </w:p>
        </w:tc>
      </w:tr>
      <w:tr w14:paraId="369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FAAD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default" w:ascii="Times New Roman" w:hAnsi="Times New Roman"/>
                <w:color w:val="auto"/>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C8CD5">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A78F5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成交候选人</w:t>
            </w:r>
          </w:p>
          <w:p w14:paraId="3B6B02D0">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排序方法</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B591FA">
            <w:pPr>
              <w:keepNext w:val="0"/>
              <w:keepLines w:val="0"/>
              <w:widowControl/>
              <w:suppressLineNumbers w:val="0"/>
              <w:adjustRightInd w:val="0"/>
              <w:snapToGrid w:val="0"/>
              <w:spacing w:before="0" w:beforeLines="0" w:beforeAutospacing="0" w:after="0" w:afterLines="0" w:afterAutospacing="0"/>
              <w:ind w:left="0" w:right="0"/>
              <w:jc w:val="left"/>
              <w:rPr>
                <w:rFonts w:hint="default"/>
                <w:color w:val="auto"/>
                <w:sz w:val="21"/>
                <w:szCs w:val="24"/>
              </w:rPr>
            </w:pPr>
            <w:r>
              <w:rPr>
                <w:rFonts w:hint="eastAsia"/>
                <w:color w:val="auto"/>
                <w:sz w:val="21"/>
                <w:szCs w:val="24"/>
                <w:lang w:val="en-US" w:eastAsia="zh-CN"/>
              </w:rPr>
              <w:t>本次拟选定报价较低的前2个品牌同时作为成交品牌，</w:t>
            </w:r>
            <w:r>
              <w:rPr>
                <w:rFonts w:hint="eastAsia"/>
                <w:color w:val="auto"/>
                <w:sz w:val="21"/>
                <w:szCs w:val="24"/>
              </w:rPr>
              <w:t>按评审价由低到高的顺序依次推荐成交候选人：</w:t>
            </w:r>
          </w:p>
          <w:p w14:paraId="5E5E18AA">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评审价相等时，评审委员会依次按照以下优先顺序推荐成交候选人：</w:t>
            </w:r>
          </w:p>
          <w:p w14:paraId="2B3A411D">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（1）响应文件提供的合格业绩数量多的响应人优先；</w:t>
            </w:r>
          </w:p>
          <w:p w14:paraId="1E0AEA34">
            <w:pPr>
              <w:keepNext w:val="0"/>
              <w:keepLines w:val="0"/>
              <w:suppressLineNumbers w:val="0"/>
              <w:spacing w:before="0" w:beforeLines="0" w:beforeAutospacing="0" w:after="0" w:afterLines="0" w:afterAutospacing="0" w:line="440" w:lineRule="exact"/>
              <w:ind w:left="0" w:right="0"/>
              <w:rPr>
                <w:rFonts w:hint="default"/>
                <w:color w:val="auto"/>
                <w:sz w:val="21"/>
                <w:szCs w:val="24"/>
              </w:rPr>
            </w:pPr>
            <w:r>
              <w:rPr>
                <w:rFonts w:hint="eastAsia" w:ascii="宋体" w:hAnsi="宋体" w:cs="宋体"/>
                <w:color w:val="auto"/>
                <w:sz w:val="21"/>
                <w:szCs w:val="21"/>
              </w:rPr>
              <w:t>（2）递交响应文件时间早的响应人优先。</w:t>
            </w:r>
          </w:p>
        </w:tc>
      </w:tr>
      <w:tr w14:paraId="513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B3CAC0">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869A0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评审因素</w:t>
            </w:r>
          </w:p>
        </w:tc>
        <w:tc>
          <w:tcPr>
            <w:tcW w:w="5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9166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3D60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8E41E0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2.1.1</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554883">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形式评审标准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B545F1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供应商名称</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1CACA99">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与营业执照、资质证书（如有）一致</w:t>
            </w:r>
          </w:p>
        </w:tc>
      </w:tr>
      <w:tr w14:paraId="4EC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4F036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EBF59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350D48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D6F1DE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符合第六章“响应文件格式”的规定，关键字迹清晰可辨</w:t>
            </w:r>
          </w:p>
        </w:tc>
      </w:tr>
      <w:tr w14:paraId="6199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2F38C1">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6B54AC">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85F9C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签名、盖章、装订</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8AB34FD">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4DC1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FBA23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2BDAD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D2CE1D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电子版响应文件</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D25B9A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放置盖章版的响应文件扫描件（PDF版本）、放置电子版报价清单（EXCEL版）</w:t>
            </w:r>
          </w:p>
        </w:tc>
      </w:tr>
      <w:tr w14:paraId="60D8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F8727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39CBC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EC57AB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C62F9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w:t>
            </w:r>
          </w:p>
        </w:tc>
      </w:tr>
      <w:tr w14:paraId="0257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8D21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2.1.2</w:t>
            </w:r>
          </w:p>
        </w:tc>
        <w:tc>
          <w:tcPr>
            <w:tcW w:w="10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217F7">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资格评审标准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B0EDF8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资质条件、能力、信誉</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C518ED">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679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6CFC0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2.1.3</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FC4B1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响应性评审标准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A63C5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采购内容</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EB27F7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5948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C8FB9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DAAF8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7E1A12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交货期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95AD0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3B7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234BE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37CE7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97341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质量要求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341539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D7D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CC998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B81F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174BF2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响应有效期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AB37489">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6B54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73D56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3D85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B24C8F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响应保证金</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96525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0AF7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66A06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E35DB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0E4922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联合体</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1C10FB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未以联合体形式报价</w:t>
            </w:r>
          </w:p>
        </w:tc>
      </w:tr>
      <w:tr w14:paraId="351D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C4321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83155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817F5E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分包</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9A54C7C">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没有分包</w:t>
            </w:r>
          </w:p>
        </w:tc>
      </w:tr>
      <w:tr w14:paraId="37A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8D47D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948E4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27D7302">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报价</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F1D25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（1）报价未超过询比文件设定的最高限价。</w:t>
            </w:r>
          </w:p>
          <w:p w14:paraId="00E2262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（2）已标价的报价清单总报价和报价函的报价一致（四舍五入除外）。</w:t>
            </w:r>
          </w:p>
          <w:p w14:paraId="234E91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（3）报价的大写数值能确定具体数值，未出现数量级错误、报价金额单位错误。</w:t>
            </w:r>
          </w:p>
          <w:p w14:paraId="6BE3684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（4）同一供应商未递交两个以上不同的报价。</w:t>
            </w:r>
          </w:p>
          <w:p w14:paraId="2BCBF6A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（5）供应商按采购人提供的书面报价清单填写了报价，且未修改报价清单说明、数量等实质性内容。</w:t>
            </w:r>
          </w:p>
        </w:tc>
      </w:tr>
      <w:tr w14:paraId="344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19295E">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B3116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11997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其他实质性要求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A63A8F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符合询比文件的其他实质性要求和条件。</w:t>
            </w:r>
          </w:p>
        </w:tc>
      </w:tr>
      <w:tr w14:paraId="75D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AAB66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color w:val="auto"/>
                <w:sz w:val="21"/>
                <w:szCs w:val="21"/>
              </w:rPr>
              <w:t>响应文件不符合以上条件之一的，对该响应文件作否决其响应处理。</w:t>
            </w:r>
          </w:p>
        </w:tc>
      </w:tr>
    </w:tbl>
    <w:p w14:paraId="59632EF1">
      <w:pPr>
        <w:widowControl/>
        <w:spacing w:beforeLines="0" w:afterLines="0" w:line="360" w:lineRule="atLeast"/>
        <w:jc w:val="center"/>
        <w:rPr>
          <w:rFonts w:hint="default" w:ascii="Times New Roman" w:hAnsi="Times New Roman"/>
          <w:color w:val="auto"/>
          <w:sz w:val="21"/>
          <w:szCs w:val="24"/>
        </w:rPr>
      </w:pPr>
    </w:p>
    <w:p w14:paraId="5BEA99F3">
      <w:pPr>
        <w:keepNext/>
        <w:keepLines/>
        <w:spacing w:beforeLines="0" w:afterLines="0" w:line="400" w:lineRule="exact"/>
        <w:rPr>
          <w:rFonts w:hint="default"/>
          <w:color w:val="auto"/>
          <w:sz w:val="21"/>
          <w:szCs w:val="24"/>
        </w:rPr>
      </w:pPr>
      <w:r>
        <w:rPr>
          <w:rFonts w:hint="eastAsia" w:ascii="宋体" w:hAnsi="宋体" w:cs="宋体"/>
          <w:b/>
          <w:color w:val="auto"/>
          <w:kern w:val="0"/>
          <w:sz w:val="28"/>
          <w:szCs w:val="28"/>
        </w:rPr>
        <w:t>前附表B</w:t>
      </w:r>
    </w:p>
    <w:tbl>
      <w:tblPr>
        <w:tblStyle w:val="21"/>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83DF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D3E257">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05ECE">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量化因素</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E8385">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量化标准</w:t>
            </w:r>
          </w:p>
        </w:tc>
      </w:tr>
      <w:tr w14:paraId="48A42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37471">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color w:val="auto"/>
                <w:sz w:val="21"/>
                <w:szCs w:val="21"/>
              </w:rPr>
              <w:t>3.1</w:t>
            </w:r>
          </w:p>
        </w:tc>
        <w:tc>
          <w:tcPr>
            <w:tcW w:w="1605" w:type="dxa"/>
            <w:tcBorders>
              <w:top w:val="single" w:color="auto" w:sz="4" w:space="0"/>
              <w:left w:val="nil"/>
              <w:bottom w:val="single" w:color="auto" w:sz="4" w:space="0"/>
              <w:right w:val="single" w:color="auto" w:sz="4" w:space="0"/>
              <w:tl2br w:val="nil"/>
              <w:tr2bl w:val="nil"/>
            </w:tcBorders>
            <w:noWrap w:val="0"/>
            <w:vAlign w:val="center"/>
          </w:tcPr>
          <w:p w14:paraId="256F9803">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详细评审标准</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70396">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评审价计算</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C698A5">
            <w:pPr>
              <w:keepNext w:val="0"/>
              <w:keepLines w:val="0"/>
              <w:suppressLineNumbers w:val="0"/>
              <w:spacing w:before="0" w:beforeLines="0" w:beforeAutospacing="0" w:after="0" w:afterLines="0" w:afterAutospacing="0" w:line="360" w:lineRule="auto"/>
              <w:ind w:left="0" w:right="0"/>
              <w:rPr>
                <w:rFonts w:hint="default" w:ascii="Times New Roman" w:hAnsi="Times New Roman" w:eastAsia="仿宋_GB2312"/>
                <w:color w:val="auto"/>
                <w:sz w:val="32"/>
                <w:szCs w:val="32"/>
              </w:rPr>
            </w:pPr>
            <w:r>
              <w:rPr>
                <w:rFonts w:hint="eastAsia" w:ascii="Times New Roman" w:hAnsi="Times New Roman"/>
                <w:color w:val="auto"/>
                <w:kern w:val="0"/>
                <w:sz w:val="21"/>
                <w:szCs w:val="21"/>
              </w:rPr>
              <w:t>评审价＝修正后的报价</w:t>
            </w:r>
          </w:p>
        </w:tc>
      </w:tr>
      <w:tr w14:paraId="3AB40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56EABD">
            <w:pPr>
              <w:keepNext w:val="0"/>
              <w:keepLines w:val="0"/>
              <w:suppressLineNumbers w:val="0"/>
              <w:spacing w:before="0" w:beforeLines="0" w:beforeAutospacing="0" w:after="0" w:afterLines="0" w:afterAutospacing="0" w:line="360" w:lineRule="atLeast"/>
              <w:ind w:left="0" w:right="0"/>
              <w:rPr>
                <w:rFonts w:hint="default" w:ascii="Times New Roman" w:hAnsi="Times New Roman"/>
                <w:color w:val="auto"/>
                <w:sz w:val="21"/>
                <w:szCs w:val="21"/>
              </w:rPr>
            </w:pPr>
            <w:r>
              <w:rPr>
                <w:rFonts w:hint="eastAsia" w:ascii="Times New Roman" w:hAnsi="Times New Roman"/>
                <w:color w:val="auto"/>
                <w:sz w:val="21"/>
                <w:szCs w:val="21"/>
              </w:rPr>
              <w:t>需要补充的其他内容：</w:t>
            </w:r>
          </w:p>
          <w:p w14:paraId="1D16379E">
            <w:pPr>
              <w:keepNext w:val="0"/>
              <w:keepLines w:val="0"/>
              <w:suppressLineNumbers w:val="0"/>
              <w:spacing w:before="50" w:beforeLines="0" w:beforeAutospacing="0" w:after="5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一、合作单位的选择及成交原则</w:t>
            </w:r>
          </w:p>
          <w:p w14:paraId="0278F708">
            <w:pPr>
              <w:keepNext w:val="0"/>
              <w:keepLines w:val="0"/>
              <w:suppressLineNumbers w:val="0"/>
              <w:spacing w:before="50" w:beforeLines="0" w:beforeAutospacing="0" w:after="50" w:afterLines="0" w:afterAutospacing="0"/>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1、本次采购活动将采用</w:t>
            </w:r>
            <w:r>
              <w:rPr>
                <w:rFonts w:hint="eastAsia" w:ascii="宋体" w:hAnsi="宋体" w:cs="宋体"/>
                <w:b/>
                <w:color w:val="auto"/>
                <w:sz w:val="21"/>
                <w:szCs w:val="21"/>
              </w:rPr>
              <w:t>最低价法</w:t>
            </w:r>
            <w:r>
              <w:rPr>
                <w:rFonts w:hint="eastAsia" w:ascii="宋体" w:hAnsi="宋体" w:cs="宋体"/>
                <w:color w:val="auto"/>
                <w:sz w:val="21"/>
                <w:szCs w:val="21"/>
              </w:rPr>
              <w:t>进行评审。</w:t>
            </w:r>
          </w:p>
          <w:p w14:paraId="252147C1">
            <w:pPr>
              <w:keepNext w:val="0"/>
              <w:keepLines w:val="0"/>
              <w:suppressLineNumbers w:val="0"/>
              <w:spacing w:before="50" w:beforeLines="0" w:beforeAutospacing="0" w:after="50" w:afterLines="0" w:afterAutospacing="0"/>
              <w:ind w:left="0" w:right="0" w:firstLine="422" w:firstLineChars="200"/>
              <w:rPr>
                <w:rFonts w:hint="eastAsia" w:ascii="宋体" w:hAnsi="宋体" w:cs="宋体"/>
                <w:color w:val="auto"/>
                <w:sz w:val="21"/>
                <w:szCs w:val="21"/>
              </w:rPr>
            </w:pPr>
            <w:r>
              <w:rPr>
                <w:rFonts w:hint="eastAsia" w:ascii="宋体" w:hAnsi="宋体" w:cs="宋体"/>
                <w:b/>
                <w:color w:val="auto"/>
                <w:sz w:val="21"/>
                <w:szCs w:val="21"/>
              </w:rPr>
              <w:t>最低价法</w:t>
            </w:r>
            <w:r>
              <w:rPr>
                <w:rFonts w:hint="eastAsia" w:ascii="宋体" w:hAnsi="宋体" w:cs="宋体"/>
                <w:color w:val="auto"/>
                <w:sz w:val="21"/>
                <w:szCs w:val="21"/>
              </w:rPr>
              <w:t>：以价格为主要因素确定成交人，即在全部满足前附表要求（资格评审和响应性评审）前提下，根据各家报价由低到高的顺序，依次推荐三名成交候选人。</w:t>
            </w:r>
          </w:p>
          <w:p w14:paraId="342F1E1A">
            <w:pPr>
              <w:keepNext w:val="0"/>
              <w:keepLines w:val="0"/>
              <w:numPr>
                <w:ilvl w:val="0"/>
                <w:numId w:val="3"/>
              </w:numPr>
              <w:suppressLineNumbers w:val="0"/>
              <w:spacing w:before="50" w:beforeLines="0" w:beforeAutospacing="0" w:after="50" w:afterLines="0" w:afterAutospacing="0"/>
              <w:ind w:left="0" w:right="0" w:firstLine="420" w:firstLineChars="200"/>
              <w:rPr>
                <w:rFonts w:hint="default" w:ascii="Times New Roman" w:hAnsi="Times New Roman"/>
                <w:color w:val="auto"/>
                <w:sz w:val="21"/>
                <w:szCs w:val="21"/>
              </w:rPr>
            </w:pPr>
            <w:r>
              <w:rPr>
                <w:rFonts w:hint="eastAsia" w:ascii="宋体" w:hAnsi="宋体" w:cs="宋体"/>
                <w:color w:val="auto"/>
                <w:sz w:val="21"/>
                <w:szCs w:val="21"/>
              </w:rPr>
              <w:t>评审委员会应按照组合价最低原则确定成交人。</w:t>
            </w:r>
          </w:p>
          <w:p w14:paraId="1832EB65">
            <w:pPr>
              <w:keepNext w:val="0"/>
              <w:keepLines w:val="0"/>
              <w:widowControl/>
              <w:suppressLineNumbers w:val="0"/>
              <w:spacing w:before="0" w:beforeLines="0" w:beforeAutospacing="0" w:after="0" w:afterLines="0" w:afterAutospacing="0"/>
              <w:ind w:left="0" w:right="0"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lang w:bidi="ar"/>
              </w:rPr>
              <w:t>3、</w:t>
            </w:r>
            <w:r>
              <w:rPr>
                <w:rFonts w:hint="eastAsia" w:ascii="宋体" w:hAnsi="宋体" w:cs="宋体"/>
                <w:b/>
                <w:color w:val="auto"/>
                <w:kern w:val="0"/>
                <w:sz w:val="22"/>
                <w:szCs w:val="22"/>
                <w:lang w:bidi="ar"/>
              </w:rPr>
              <w:t>异常低价评审</w:t>
            </w:r>
            <w:r>
              <w:rPr>
                <w:rFonts w:hint="eastAsia" w:ascii="宋体" w:hAnsi="宋体" w:cs="宋体"/>
                <w:color w:val="auto"/>
                <w:kern w:val="0"/>
                <w:sz w:val="22"/>
                <w:szCs w:val="22"/>
                <w:lang w:bidi="ar"/>
              </w:rPr>
              <w:t xml:space="preserve">： </w:t>
            </w:r>
          </w:p>
          <w:p w14:paraId="4AE6E457">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如响应人的</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价低于</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价平均值的90%时，采购人可以在评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现场要求该响应人作出情况说明并提供相应降低工程造价的相关证明材料，参照附表1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w:t>
            </w:r>
            <w:r>
              <w:rPr>
                <w:rFonts w:hint="eastAsia" w:ascii="宋体" w:hAnsi="宋体" w:cs="宋体"/>
                <w:color w:val="auto"/>
                <w:kern w:val="0"/>
                <w:sz w:val="22"/>
                <w:szCs w:val="22"/>
                <w:lang w:val="en-US" w:eastAsia="zh-CN" w:bidi="ar"/>
              </w:rPr>
              <w:t>参与该采购项目</w:t>
            </w:r>
            <w:r>
              <w:rPr>
                <w:rFonts w:hint="eastAsia" w:ascii="宋体" w:hAnsi="宋体" w:cs="宋体"/>
                <w:color w:val="auto"/>
                <w:kern w:val="0"/>
                <w:sz w:val="22"/>
                <w:szCs w:val="22"/>
                <w:lang w:bidi="ar"/>
              </w:rPr>
              <w:t xml:space="preserve">，并否决其响应。 </w:t>
            </w:r>
          </w:p>
          <w:p w14:paraId="532A76CD">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 xml:space="preserve">注： </w:t>
            </w:r>
          </w:p>
          <w:p w14:paraId="49F1B39B">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1)针对异常低价承诺书请响应人合理考虑时间，可提前准备好降低工程造价的相关证明材料，以避免错过</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时间，造成的不良后果由响应人自行承担。 </w:t>
            </w:r>
          </w:p>
          <w:p w14:paraId="0918B374">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2)以下情形不得作为</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或报价文件中提供异常低价响应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2ECF5D45">
            <w:pPr>
              <w:keepNext w:val="0"/>
              <w:keepLines w:val="0"/>
              <w:numPr>
                <w:ilvl w:val="0"/>
                <w:numId w:val="0"/>
              </w:numPr>
              <w:suppressLineNumbers w:val="0"/>
              <w:spacing w:before="0" w:beforeLines="0" w:beforeAutospacing="0" w:after="0" w:afterLines="0" w:afterAutospacing="0" w:line="340" w:lineRule="exact"/>
              <w:ind w:left="0" w:right="0" w:firstLine="440" w:firstLineChars="200"/>
              <w:rPr>
                <w:rFonts w:hint="eastAsia" w:ascii="宋体" w:hAnsi="宋体" w:cs="宋体"/>
                <w:color w:val="auto"/>
                <w:sz w:val="21"/>
                <w:szCs w:val="21"/>
              </w:rPr>
            </w:pPr>
            <w:r>
              <w:rPr>
                <w:rFonts w:hint="eastAsia" w:ascii="宋体" w:hAnsi="宋体" w:cs="宋体"/>
                <w:color w:val="auto"/>
                <w:kern w:val="0"/>
                <w:sz w:val="22"/>
                <w:szCs w:val="22"/>
                <w:lang w:bidi="ar"/>
              </w:rPr>
              <w:t>4.风险评估评审：采购人对通过评审的异常低价成交候选人合同履行能力及工程质量安全等风险进行全面评估，并作为评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结果的附件提交给采购人。响应人在响应文件中不能作出有效澄清、说明或采购人认定（按少数服从多数的原则）其存在履约及质量安全风险的，采购人应否决其</w:t>
            </w:r>
            <w:r>
              <w:rPr>
                <w:rFonts w:hint="eastAsia" w:ascii="宋体" w:hAnsi="宋体" w:cs="宋体"/>
                <w:color w:val="auto"/>
                <w:kern w:val="0"/>
                <w:sz w:val="22"/>
                <w:szCs w:val="22"/>
                <w:lang w:val="en-US" w:eastAsia="zh-CN" w:bidi="ar"/>
              </w:rPr>
              <w:t>参与本次采购活动</w:t>
            </w:r>
            <w:r>
              <w:rPr>
                <w:rFonts w:hint="eastAsia" w:ascii="宋体" w:hAnsi="宋体" w:cs="宋体"/>
                <w:color w:val="auto"/>
                <w:kern w:val="0"/>
                <w:sz w:val="22"/>
                <w:szCs w:val="22"/>
                <w:lang w:bidi="ar"/>
              </w:rPr>
              <w:t>。</w:t>
            </w:r>
          </w:p>
        </w:tc>
      </w:tr>
    </w:tbl>
    <w:p w14:paraId="55A30F1B">
      <w:pPr>
        <w:pStyle w:val="8"/>
        <w:spacing w:beforeLines="0" w:afterLines="0"/>
        <w:rPr>
          <w:rFonts w:hint="default"/>
          <w:color w:val="auto"/>
          <w:sz w:val="21"/>
          <w:szCs w:val="24"/>
        </w:rPr>
      </w:pPr>
    </w:p>
    <w:p w14:paraId="72F049B0">
      <w:pPr>
        <w:pStyle w:val="8"/>
        <w:spacing w:beforeLines="0" w:afterLines="0"/>
        <w:rPr>
          <w:rFonts w:hint="default"/>
          <w:color w:val="auto"/>
          <w:sz w:val="21"/>
          <w:szCs w:val="24"/>
        </w:rPr>
      </w:pPr>
    </w:p>
    <w:p w14:paraId="37EF3794">
      <w:pPr>
        <w:widowControl/>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AA2D2B0">
      <w:pPr>
        <w:widowControl/>
        <w:jc w:val="cente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7E5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D7079">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A6A3212">
            <w:pPr>
              <w:pStyle w:val="8"/>
              <w:keepNext w:val="0"/>
              <w:keepLines w:val="0"/>
              <w:suppressLineNumbers w:val="0"/>
              <w:spacing w:before="0" w:beforeAutospacing="0" w:afterAutospacing="0"/>
              <w:ind w:left="0" w:right="0"/>
              <w:rPr>
                <w:rFonts w:hint="default"/>
                <w:color w:val="auto"/>
                <w:sz w:val="21"/>
                <w:szCs w:val="24"/>
              </w:rPr>
            </w:pPr>
          </w:p>
        </w:tc>
      </w:tr>
      <w:tr w14:paraId="678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64916">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9D76EFA">
            <w:pPr>
              <w:pStyle w:val="8"/>
              <w:keepNext w:val="0"/>
              <w:keepLines w:val="0"/>
              <w:suppressLineNumbers w:val="0"/>
              <w:spacing w:before="0" w:beforeAutospacing="0" w:afterAutospacing="0"/>
              <w:ind w:left="0" w:right="0"/>
              <w:rPr>
                <w:rFonts w:hint="default"/>
                <w:color w:val="auto"/>
                <w:sz w:val="21"/>
                <w:szCs w:val="24"/>
              </w:rPr>
            </w:pPr>
          </w:p>
        </w:tc>
      </w:tr>
      <w:tr w14:paraId="2BDB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F421A">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FC23D13">
            <w:pPr>
              <w:pStyle w:val="8"/>
              <w:keepNext w:val="0"/>
              <w:keepLines w:val="0"/>
              <w:suppressLineNumbers w:val="0"/>
              <w:spacing w:before="0" w:beforeAutospacing="0" w:afterAutospacing="0"/>
              <w:ind w:left="0" w:right="0"/>
              <w:rPr>
                <w:rFonts w:hint="default"/>
                <w:color w:val="auto"/>
                <w:sz w:val="21"/>
                <w:szCs w:val="24"/>
              </w:rPr>
            </w:pPr>
          </w:p>
        </w:tc>
      </w:tr>
      <w:tr w14:paraId="6709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4196E">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11D6D1">
            <w:pPr>
              <w:pStyle w:val="8"/>
              <w:keepNext w:val="0"/>
              <w:keepLines w:val="0"/>
              <w:suppressLineNumbers w:val="0"/>
              <w:spacing w:before="0" w:beforeAutospacing="0" w:afterAutospacing="0"/>
              <w:ind w:left="0" w:right="0"/>
              <w:rPr>
                <w:rFonts w:hint="default"/>
                <w:color w:val="auto"/>
                <w:sz w:val="21"/>
                <w:szCs w:val="24"/>
              </w:rPr>
            </w:pPr>
          </w:p>
        </w:tc>
      </w:tr>
      <w:tr w14:paraId="1FF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58C87">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E55E6">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1.</w:t>
            </w:r>
            <w:r>
              <w:rPr>
                <w:rFonts w:hint="eastAsia" w:ascii="宋体" w:hAnsi="宋体" w:cs="宋体"/>
                <w:color w:val="auto"/>
                <w:kern w:val="0"/>
                <w:sz w:val="22"/>
                <w:szCs w:val="22"/>
                <w:lang w:bidi="ar"/>
              </w:rPr>
              <w:t>我公司承诺本表提供的内容及相关资料均属实；</w:t>
            </w:r>
          </w:p>
          <w:p w14:paraId="648B742C">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2.</w:t>
            </w:r>
            <w:r>
              <w:rPr>
                <w:rFonts w:hint="eastAsia" w:ascii="宋体" w:hAnsi="宋体" w:cs="宋体"/>
                <w:color w:val="auto"/>
                <w:kern w:val="0"/>
                <w:sz w:val="22"/>
                <w:szCs w:val="22"/>
                <w:lang w:bidi="ar"/>
              </w:rPr>
              <w:t>我公司承诺没有采购文件约定的降低响应报价的禁止情形；</w:t>
            </w:r>
          </w:p>
          <w:p w14:paraId="36A8AEAD">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3.</w:t>
            </w:r>
            <w:r>
              <w:rPr>
                <w:rFonts w:hint="eastAsia" w:ascii="宋体" w:hAnsi="宋体" w:cs="宋体"/>
                <w:color w:val="auto"/>
                <w:kern w:val="0"/>
                <w:sz w:val="22"/>
                <w:szCs w:val="22"/>
                <w:lang w:bidi="ar"/>
              </w:rPr>
              <w:t>我公司承诺具备合同履行能力及工程质量安全控制能力。</w:t>
            </w:r>
          </w:p>
        </w:tc>
      </w:tr>
    </w:tbl>
    <w:p w14:paraId="605698F8">
      <w:pPr>
        <w:pStyle w:val="8"/>
        <w:rPr>
          <w:rFonts w:hint="default"/>
          <w:color w:val="auto"/>
          <w:sz w:val="21"/>
          <w:szCs w:val="24"/>
        </w:rPr>
      </w:pPr>
    </w:p>
    <w:p w14:paraId="6D3CEE1C">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注： </w:t>
      </w:r>
    </w:p>
    <w:p w14:paraId="3FF72336">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1.此表格后附异常低价评审的相关证明材料； </w:t>
      </w:r>
    </w:p>
    <w:p w14:paraId="6C40DAB2">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2.响应人在制作响应文件时该页可放置在报价文件-其他的资料中，或在评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委员会发询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函时作为附件提供。</w:t>
      </w:r>
    </w:p>
    <w:p w14:paraId="79394EF4">
      <w:pPr>
        <w:spacing w:beforeLines="0" w:afterLines="0"/>
        <w:jc w:val="left"/>
        <w:rPr>
          <w:rFonts w:hint="default" w:ascii="Times New Roman" w:hAnsi="Times New Roman" w:eastAsia="黑体"/>
          <w:color w:val="auto"/>
          <w:sz w:val="24"/>
          <w:szCs w:val="32"/>
        </w:rPr>
      </w:pPr>
    </w:p>
    <w:p w14:paraId="33CFF22A">
      <w:pPr>
        <w:spacing w:beforeLines="0" w:afterLines="0"/>
        <w:jc w:val="left"/>
        <w:rPr>
          <w:rFonts w:hint="default" w:ascii="Times New Roman" w:hAnsi="Times New Roman" w:eastAsia="黑体"/>
          <w:color w:val="auto"/>
          <w:sz w:val="24"/>
          <w:szCs w:val="32"/>
        </w:rPr>
      </w:pPr>
    </w:p>
    <w:p w14:paraId="3F9AD128">
      <w:pPr>
        <w:spacing w:beforeLines="0" w:afterLines="0"/>
        <w:jc w:val="left"/>
        <w:rPr>
          <w:rFonts w:hint="default" w:ascii="Times New Roman" w:hAnsi="Times New Roman" w:eastAsia="黑体"/>
          <w:color w:val="auto"/>
          <w:sz w:val="24"/>
          <w:szCs w:val="32"/>
        </w:rPr>
      </w:pPr>
    </w:p>
    <w:p w14:paraId="59D0BFD5">
      <w:pPr>
        <w:spacing w:beforeLines="0" w:afterLines="0"/>
        <w:jc w:val="left"/>
        <w:rPr>
          <w:rFonts w:hint="default" w:ascii="Times New Roman" w:hAnsi="Times New Roman" w:eastAsia="黑体"/>
          <w:color w:val="auto"/>
          <w:sz w:val="24"/>
          <w:szCs w:val="32"/>
        </w:rPr>
      </w:pPr>
    </w:p>
    <w:p w14:paraId="78026F88">
      <w:pPr>
        <w:spacing w:beforeLines="0" w:afterLines="0"/>
        <w:jc w:val="left"/>
        <w:rPr>
          <w:rFonts w:hint="default" w:ascii="Times New Roman" w:hAnsi="Times New Roman" w:eastAsia="黑体"/>
          <w:color w:val="auto"/>
          <w:sz w:val="24"/>
          <w:szCs w:val="32"/>
        </w:rPr>
      </w:pPr>
    </w:p>
    <w:p w14:paraId="50E0E988">
      <w:pPr>
        <w:spacing w:beforeLines="0" w:afterLines="0"/>
        <w:jc w:val="left"/>
        <w:rPr>
          <w:rFonts w:hint="default" w:ascii="Times New Roman" w:hAnsi="Times New Roman" w:eastAsia="黑体"/>
          <w:color w:val="auto"/>
          <w:sz w:val="24"/>
          <w:szCs w:val="32"/>
        </w:rPr>
      </w:pPr>
    </w:p>
    <w:p w14:paraId="37C2A25E">
      <w:pPr>
        <w:spacing w:beforeLines="0" w:afterLines="0"/>
        <w:jc w:val="left"/>
        <w:rPr>
          <w:rFonts w:hint="default" w:ascii="Times New Roman" w:hAnsi="Times New Roman" w:eastAsia="黑体"/>
          <w:color w:val="auto"/>
          <w:sz w:val="24"/>
          <w:szCs w:val="32"/>
        </w:rPr>
      </w:pPr>
    </w:p>
    <w:p w14:paraId="68E072AA">
      <w:pPr>
        <w:spacing w:beforeLines="0" w:afterLines="0"/>
        <w:jc w:val="left"/>
        <w:rPr>
          <w:rFonts w:hint="default" w:ascii="Times New Roman" w:hAnsi="Times New Roman" w:eastAsia="黑体"/>
          <w:color w:val="auto"/>
          <w:sz w:val="24"/>
          <w:szCs w:val="32"/>
        </w:rPr>
      </w:pPr>
    </w:p>
    <w:p w14:paraId="3EAAD164">
      <w:pPr>
        <w:spacing w:beforeLines="0" w:afterLines="0"/>
        <w:jc w:val="left"/>
        <w:rPr>
          <w:rFonts w:hint="default" w:ascii="Times New Roman" w:hAnsi="Times New Roman" w:eastAsia="黑体"/>
          <w:color w:val="auto"/>
          <w:sz w:val="24"/>
          <w:szCs w:val="32"/>
        </w:rPr>
      </w:pPr>
    </w:p>
    <w:p w14:paraId="5208D6EC">
      <w:pPr>
        <w:spacing w:beforeLines="0" w:afterLines="0"/>
        <w:jc w:val="left"/>
        <w:rPr>
          <w:rFonts w:hint="default" w:ascii="Times New Roman" w:hAnsi="Times New Roman" w:eastAsia="黑体"/>
          <w:color w:val="auto"/>
          <w:sz w:val="24"/>
          <w:szCs w:val="32"/>
        </w:rPr>
      </w:pPr>
    </w:p>
    <w:p w14:paraId="6DC5B8D9">
      <w:pPr>
        <w:spacing w:beforeLines="0" w:afterLines="0"/>
        <w:jc w:val="left"/>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评审方法</w:t>
      </w:r>
    </w:p>
    <w:p w14:paraId="542D4768">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rPr>
        <w:t>1.1本次评审采用最低价法。评审小组对满足询比文件实质性要求的响应文件，按照评审价由低到高的顺序依次推荐成交候选人。如报价相同的，按照评审办法前附表中的规定确</w:t>
      </w:r>
      <w:r>
        <w:rPr>
          <w:rFonts w:hint="eastAsia" w:ascii="Times New Roman" w:hAnsi="Times New Roman"/>
          <w:color w:val="auto"/>
          <w:sz w:val="21"/>
          <w:szCs w:val="24"/>
          <w:highlight w:val="none"/>
        </w:rPr>
        <w:t>定成交候选人顺序。</w:t>
      </w:r>
    </w:p>
    <w:p w14:paraId="079F2630">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5A22136F">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评审标准</w:t>
      </w:r>
    </w:p>
    <w:p w14:paraId="66E6C09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初步评审标准</w:t>
      </w:r>
    </w:p>
    <w:p w14:paraId="540D612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2.1.1 </w:t>
      </w:r>
      <w:r>
        <w:rPr>
          <w:rFonts w:hint="eastAsia" w:ascii="Times New Roman" w:hAnsi="Times New Roman"/>
          <w:color w:val="auto"/>
          <w:sz w:val="21"/>
          <w:szCs w:val="24"/>
        </w:rPr>
        <w:t>形式评审标准：见评审办法前附表。</w:t>
      </w:r>
    </w:p>
    <w:p w14:paraId="0BF6866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2.1.2 </w:t>
      </w:r>
      <w:r>
        <w:rPr>
          <w:rFonts w:hint="eastAsia" w:ascii="Times New Roman" w:hAnsi="Times New Roman"/>
          <w:color w:val="auto"/>
          <w:sz w:val="21"/>
          <w:szCs w:val="24"/>
        </w:rPr>
        <w:t>资格评审标准：见评审办法前附表。</w:t>
      </w:r>
    </w:p>
    <w:p w14:paraId="5B06C1A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2.1.3 </w:t>
      </w:r>
      <w:r>
        <w:rPr>
          <w:rFonts w:hint="eastAsia" w:ascii="Times New Roman" w:hAnsi="Times New Roman"/>
          <w:color w:val="auto"/>
          <w:sz w:val="21"/>
          <w:szCs w:val="24"/>
        </w:rPr>
        <w:t>响应性评审标准：见评审办法前附表。</w:t>
      </w:r>
    </w:p>
    <w:p w14:paraId="5F6D775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评审程序</w:t>
      </w:r>
    </w:p>
    <w:p w14:paraId="167C2E9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3.1 </w:t>
      </w:r>
      <w:r>
        <w:rPr>
          <w:rFonts w:hint="eastAsia" w:ascii="Times New Roman" w:hAnsi="Times New Roman" w:eastAsia="黑体"/>
          <w:color w:val="auto"/>
          <w:sz w:val="24"/>
          <w:szCs w:val="32"/>
        </w:rPr>
        <w:t>初步评审</w:t>
      </w:r>
    </w:p>
    <w:p w14:paraId="2B2AAD71">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4491572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75D759A4">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3C0D8F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27DF69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45A85BA2">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35D2A51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4F2A7BE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514BA68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52C1837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9D0D087">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370FE1F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11DA205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1EEAA2A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46B7EAE3">
      <w:pPr>
        <w:spacing w:beforeLines="0" w:afterLines="0" w:line="440" w:lineRule="exact"/>
        <w:ind w:firstLine="420"/>
        <w:rPr>
          <w:rFonts w:hint="default"/>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33FD58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2 否决响应文件的其他情形</w:t>
      </w:r>
    </w:p>
    <w:p w14:paraId="1ACDF71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329F4C51">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响应文件的澄清</w:t>
      </w:r>
    </w:p>
    <w:p w14:paraId="2EF5B94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58DECC76">
      <w:pPr>
        <w:spacing w:beforeLines="0" w:afterLines="0" w:line="440" w:lineRule="exact"/>
        <w:ind w:firstLine="420"/>
        <w:rPr>
          <w:rFonts w:hint="default" w:ascii="Times New Roman" w:hAnsi="Times New Roman"/>
          <w:strike/>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.2 </w:t>
      </w:r>
      <w:r>
        <w:rPr>
          <w:rFonts w:hint="eastAsia" w:ascii="Times New Roman" w:hAnsi="Times New Roman"/>
          <w:color w:val="auto"/>
          <w:sz w:val="21"/>
          <w:szCs w:val="24"/>
        </w:rPr>
        <w:t>澄清不得超出响应文件的范围且不得改变响应文件的实质性内容，并构成响应文件的组成部分。</w:t>
      </w:r>
    </w:p>
    <w:p w14:paraId="7F93A4B7">
      <w:pPr>
        <w:keepNext/>
        <w:keepLines/>
        <w:spacing w:before="120" w:beforeLines="0" w:after="120" w:afterLines="0"/>
        <w:outlineLvl w:val="2"/>
        <w:rPr>
          <w:rFonts w:hint="default" w:ascii="Times New Roman" w:hAnsi="Times New Roman" w:eastAsia="黑体"/>
          <w:color w:val="auto"/>
          <w:sz w:val="24"/>
          <w:szCs w:val="32"/>
          <w:highlight w:val="none"/>
        </w:rPr>
      </w:pPr>
      <w:r>
        <w:rPr>
          <w:rFonts w:hint="default" w:ascii="Times New Roman" w:hAnsi="Times New Roman" w:eastAsia="黑体"/>
          <w:color w:val="auto"/>
          <w:sz w:val="24"/>
          <w:szCs w:val="32"/>
          <w:highlight w:val="none"/>
        </w:rPr>
        <w:t>3.</w:t>
      </w:r>
      <w:r>
        <w:rPr>
          <w:rFonts w:hint="eastAsia" w:ascii="Times New Roman" w:hAnsi="Times New Roman" w:eastAsia="黑体"/>
          <w:color w:val="auto"/>
          <w:sz w:val="24"/>
          <w:szCs w:val="32"/>
          <w:highlight w:val="none"/>
        </w:rPr>
        <w:t>4</w:t>
      </w:r>
      <w:r>
        <w:rPr>
          <w:rFonts w:hint="default" w:ascii="Times New Roman" w:hAnsi="Times New Roman" w:eastAsia="黑体"/>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0A67A40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CC8AFF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2FEC2ABC">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670ECF3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634965C6">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654BECAF">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、评审办法（最低价法）</w:t>
      </w:r>
    </w:p>
    <w:p w14:paraId="46204DA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1B68508E">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w:t>
      </w:r>
    </w:p>
    <w:p w14:paraId="3ECAE10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7471E46F">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57AC46D3">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（五）评审结果</w:t>
      </w:r>
    </w:p>
    <w:p w14:paraId="2D8F355A">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（六）推荐成交候选人</w:t>
      </w:r>
    </w:p>
    <w:p w14:paraId="04E26FC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（七）评审附表</w:t>
      </w:r>
    </w:p>
    <w:p w14:paraId="16A811D2">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color w:val="auto"/>
          <w:sz w:val="21"/>
          <w:szCs w:val="24"/>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rgbClr val="FFFFFF"/>
                        </a:solidFill>
                        <a:ln w="6350">
                          <a:noFill/>
                        </a:ln>
                      </wps:spPr>
                      <wps:txb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wps:txbx>
                      <wps:bodyPr vert="horz" wrap="square" anchor="t" anchorCtr="0" upright="1"/>
                    </wps:wsp>
                  </a:graphicData>
                </a:graphic>
              </wp:anchor>
            </w:drawing>
          </mc:Choice>
          <mc:Fallback>
            <w:pict>
              <v:shape id="文本框 10" o:spid="_x0000_s1026" o:spt="202" type="#_x0000_t202" style="position:absolute;left:0pt;margin-left:-34.75pt;margin-top:462.4pt;height:37.5pt;width:496.85pt;z-index:251659264;mso-width-relative:page;mso-height-relative:page;" fillcolor="#FFFFFF"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rgPaXWAAAA&#10;CwEAAA8AAAAAAAAAAQAgAAAAIgAAAGRycy9kb3ducmV2LnhtbFBLAQIUABQAAAAIAIdO4kAsXBdB&#10;5gEAALQDAAAOAAAAAAAAAAEAIAAAACUBAABkcnMvZTJvRG9jLnhtbFBLBQYAAAAABgAGAFkBAAB9&#10;BQAAAAA=&#10;">
                <v:fill on="t" focussize="0,0"/>
                <v:stroke on="f" weight="0.5pt"/>
                <v:imagedata o:title=""/>
                <o:lock v:ext="edit" aspectratio="f"/>
                <v:textbo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v:textbox>
              </v:shape>
            </w:pict>
          </mc:Fallback>
        </mc:AlternateContent>
      </w:r>
      <w:r>
        <w:rPr>
          <w:rFonts w:hint="eastAsia" w:ascii="Times New Roman" w:hAnsi="Times New Roman"/>
          <w:color w:val="auto"/>
          <w:sz w:val="21"/>
          <w:szCs w:val="24"/>
        </w:rPr>
        <w:t>1、</w:t>
      </w:r>
      <w:r>
        <w:rPr>
          <w:rFonts w:hint="eastAsia" w:ascii="Times New Roman" w:hAnsi="Times New Roman"/>
          <w:color w:val="auto"/>
          <w:sz w:val="21"/>
          <w:szCs w:val="24"/>
          <w:lang w:val="en-US" w:eastAsia="zh-CN"/>
        </w:rPr>
        <w:t>响应</w:t>
      </w:r>
      <w:r>
        <w:rPr>
          <w:rFonts w:hint="eastAsia" w:ascii="Times New Roman" w:hAnsi="Times New Roman"/>
          <w:color w:val="auto"/>
          <w:sz w:val="21"/>
          <w:szCs w:val="24"/>
        </w:rPr>
        <w:t>登记表</w:t>
      </w:r>
    </w:p>
    <w:p w14:paraId="4FBF4B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2、评审人员抽取记录表</w:t>
      </w:r>
    </w:p>
    <w:p w14:paraId="52446C92">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4"/>
          <w:lang w:val="en-US" w:eastAsia="zh-CN"/>
        </w:rPr>
        <w:t>报价</w:t>
      </w:r>
      <w:r>
        <w:rPr>
          <w:rFonts w:hint="eastAsia" w:ascii="Times New Roman" w:hAnsi="Times New Roman"/>
          <w:color w:val="auto"/>
          <w:sz w:val="21"/>
          <w:szCs w:val="24"/>
        </w:rPr>
        <w:t>记录表</w:t>
      </w:r>
    </w:p>
    <w:p w14:paraId="69FC7929">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4、评审专家签到表</w:t>
      </w:r>
    </w:p>
    <w:p w14:paraId="39B99A6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5、形式、资格、响应性评审标准表</w:t>
      </w:r>
    </w:p>
    <w:p w14:paraId="6C4BD436">
      <w:pPr>
        <w:pStyle w:val="2"/>
        <w:numPr>
          <w:ilvl w:val="0"/>
          <w:numId w:val="0"/>
        </w:numPr>
        <w:spacing w:before="312" w:after="312"/>
        <w:jc w:val="both"/>
        <w:rPr>
          <w:rFonts w:hint="eastAsia" w:ascii="Times New Roman" w:hAnsi="Times New Roman" w:eastAsia="宋体"/>
          <w:sz w:val="21"/>
          <w:szCs w:val="21"/>
          <w:highlight w:val="none"/>
        </w:rPr>
      </w:pPr>
    </w:p>
    <w:p w14:paraId="1E3F91A1">
      <w:pPr>
        <w:pStyle w:val="2"/>
        <w:numPr>
          <w:ilvl w:val="0"/>
          <w:numId w:val="0"/>
        </w:numPr>
        <w:spacing w:before="312" w:after="312"/>
        <w:jc w:val="both"/>
        <w:rPr>
          <w:rFonts w:hint="eastAsia" w:ascii="Times New Roman" w:hAnsi="Times New Roman" w:eastAsia="宋体"/>
          <w:sz w:val="36"/>
          <w:szCs w:val="44"/>
          <w:highlight w:val="none"/>
        </w:rPr>
      </w:pPr>
    </w:p>
    <w:p w14:paraId="206E63A3">
      <w:pPr>
        <w:pStyle w:val="2"/>
        <w:numPr>
          <w:ilvl w:val="0"/>
          <w:numId w:val="0"/>
        </w:numPr>
        <w:spacing w:before="312" w:after="312"/>
        <w:jc w:val="both"/>
        <w:rPr>
          <w:rFonts w:hint="eastAsia" w:ascii="Times New Roman" w:hAnsi="Times New Roman" w:eastAsia="宋体"/>
          <w:sz w:val="36"/>
          <w:szCs w:val="44"/>
          <w:highlight w:val="none"/>
        </w:rPr>
      </w:pPr>
    </w:p>
    <w:p w14:paraId="004CACB0">
      <w:pPr>
        <w:pStyle w:val="2"/>
        <w:numPr>
          <w:ilvl w:val="0"/>
          <w:numId w:val="0"/>
        </w:numPr>
        <w:spacing w:before="312" w:after="312"/>
        <w:jc w:val="both"/>
        <w:rPr>
          <w:rFonts w:hint="eastAsia" w:ascii="Times New Roman" w:hAnsi="Times New Roman" w:eastAsia="宋体"/>
          <w:sz w:val="36"/>
          <w:szCs w:val="44"/>
          <w:highlight w:val="none"/>
        </w:rPr>
      </w:pPr>
    </w:p>
    <w:p w14:paraId="1D4D5071">
      <w:pPr>
        <w:rPr>
          <w:rFonts w:hint="eastAsia"/>
        </w:rPr>
      </w:pPr>
    </w:p>
    <w:p w14:paraId="14D745AB">
      <w:pPr>
        <w:rPr>
          <w:rFonts w:hint="eastAsia"/>
        </w:rPr>
      </w:pPr>
    </w:p>
    <w:p w14:paraId="7F7449CE">
      <w:pPr>
        <w:rPr>
          <w:rFonts w:hint="eastAsia"/>
        </w:rPr>
      </w:pPr>
    </w:p>
    <w:p w14:paraId="39498C98">
      <w:pPr>
        <w:rPr>
          <w:rFonts w:hint="eastAsia"/>
        </w:rPr>
      </w:pPr>
    </w:p>
    <w:p w14:paraId="64C4D25E">
      <w:pPr>
        <w:rPr>
          <w:rFonts w:hint="eastAsia"/>
        </w:rPr>
      </w:pPr>
    </w:p>
    <w:p w14:paraId="3479B64B">
      <w:pPr>
        <w:rPr>
          <w:rFonts w:hint="eastAsia"/>
        </w:rPr>
      </w:pPr>
    </w:p>
    <w:p w14:paraId="5112B861">
      <w:pPr>
        <w:rPr>
          <w:rFonts w:hint="eastAsia"/>
        </w:rPr>
      </w:pPr>
    </w:p>
    <w:p w14:paraId="5C0F8197">
      <w:pPr>
        <w:rPr>
          <w:rFonts w:hint="eastAsia"/>
        </w:rPr>
      </w:pPr>
    </w:p>
    <w:p w14:paraId="70B46AFB">
      <w:pPr>
        <w:rPr>
          <w:rFonts w:hint="eastAsia"/>
        </w:rPr>
      </w:pPr>
    </w:p>
    <w:p w14:paraId="08799F0D">
      <w:pPr>
        <w:rPr>
          <w:rFonts w:hint="eastAsia"/>
        </w:rPr>
      </w:pPr>
    </w:p>
    <w:p w14:paraId="3C9E5176">
      <w:pPr>
        <w:rPr>
          <w:rFonts w:hint="eastAsia"/>
        </w:rPr>
      </w:pPr>
    </w:p>
    <w:p w14:paraId="2FC019DA">
      <w:pPr>
        <w:rPr>
          <w:rFonts w:hint="eastAsia"/>
        </w:rPr>
      </w:pPr>
    </w:p>
    <w:p w14:paraId="03C16472">
      <w:pPr>
        <w:pStyle w:val="2"/>
        <w:numPr>
          <w:ilvl w:val="0"/>
          <w:numId w:val="0"/>
        </w:numPr>
        <w:spacing w:before="312" w:after="312"/>
        <w:jc w:val="center"/>
        <w:rPr>
          <w:rFonts w:hint="eastAsia" w:ascii="Times New Roman" w:hAnsi="Times New Roman" w:eastAsia="Times New Roman"/>
          <w:sz w:val="36"/>
          <w:szCs w:val="44"/>
          <w:highlight w:val="none"/>
        </w:rPr>
      </w:pPr>
      <w:bookmarkStart w:id="56" w:name="_Toc29588"/>
      <w:r>
        <w:rPr>
          <w:rFonts w:hint="eastAsia" w:ascii="Times New Roman" w:hAnsi="Times New Roman" w:eastAsia="宋体"/>
          <w:sz w:val="36"/>
          <w:szCs w:val="44"/>
          <w:highlight w:val="none"/>
        </w:rPr>
        <w:t>第四章 合同内容</w:t>
      </w:r>
      <w:bookmarkEnd w:id="48"/>
      <w:bookmarkEnd w:id="56"/>
    </w:p>
    <w:p w14:paraId="1FF0D2A5">
      <w:pPr>
        <w:spacing w:beforeLines="0" w:afterLines="0"/>
        <w:rPr>
          <w:rFonts w:hint="default"/>
          <w:sz w:val="21"/>
          <w:szCs w:val="24"/>
        </w:rPr>
      </w:pPr>
    </w:p>
    <w:p w14:paraId="60AD6D6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080F57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CF4721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5BD41B6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7EF7360">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FBECDF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13080DE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2EB6ED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B3B10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2A7450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B4FDE3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C65366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DC212F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F4574C9">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AFB385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AC07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64835E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8993BE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F7DA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3B51C41">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8AD480C">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7080BA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CD3766E">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年度采购框架协议</w:t>
      </w:r>
    </w:p>
    <w:p w14:paraId="35363B7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9094A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u w:val="single"/>
        </w:rPr>
        <w:t xml:space="preserve">安徽省经工物资有限公司  </w:t>
      </w:r>
      <w:r>
        <w:rPr>
          <w:rFonts w:hint="eastAsia" w:ascii="黑体" w:hAnsi="黑体" w:eastAsia="黑体" w:cs="黑体"/>
          <w:sz w:val="28"/>
          <w:szCs w:val="28"/>
        </w:rPr>
        <w:t>（以下简称甲方）</w:t>
      </w:r>
    </w:p>
    <w:p w14:paraId="29493137">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乙方:</w:t>
      </w:r>
      <w:r>
        <w:rPr>
          <w:rFonts w:hint="eastAsia" w:ascii="黑体" w:hAnsi="黑体" w:eastAsia="黑体" w:cs="黑体"/>
          <w:sz w:val="28"/>
          <w:szCs w:val="28"/>
          <w:u w:val="single"/>
        </w:rPr>
        <w:t xml:space="preserve">                         </w:t>
      </w:r>
      <w:r>
        <w:rPr>
          <w:rFonts w:hint="eastAsia" w:ascii="黑体" w:hAnsi="黑体" w:eastAsia="黑体" w:cs="黑体"/>
          <w:sz w:val="28"/>
          <w:szCs w:val="28"/>
        </w:rPr>
        <w:t>(以下简称乙方)</w:t>
      </w:r>
    </w:p>
    <w:p w14:paraId="68DEB9C8">
      <w:pPr>
        <w:numPr>
          <w:ilvl w:val="0"/>
          <w:numId w:val="0"/>
        </w:numPr>
        <w:spacing w:line="440" w:lineRule="exact"/>
        <w:rPr>
          <w:rFonts w:hint="eastAsia" w:ascii="黑体" w:hAnsi="宋体" w:eastAsia="黑体"/>
          <w:b/>
          <w:sz w:val="28"/>
          <w:szCs w:val="28"/>
        </w:rPr>
      </w:pPr>
      <w:r>
        <w:rPr>
          <w:rFonts w:hint="eastAsia" w:ascii="黑体" w:hAnsi="宋体" w:eastAsia="黑体"/>
          <w:b/>
          <w:sz w:val="28"/>
          <w:szCs w:val="28"/>
        </w:rPr>
        <w:t xml:space="preserve">    </w:t>
      </w:r>
    </w:p>
    <w:p w14:paraId="0488AEFA">
      <w:pPr>
        <w:pStyle w:val="7"/>
        <w:numPr>
          <w:ilvl w:val="0"/>
          <w:numId w:val="4"/>
        </w:num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乙双方本着平等自愿、互惠互利、共同发展的原则，经友好协商，就双方均视对方为材料采购与供应领域重要合作伙伴达成一致意见，并签订如下合作协议：  </w:t>
      </w:r>
    </w:p>
    <w:p w14:paraId="3674194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一、合作内容</w:t>
      </w:r>
    </w:p>
    <w:p w14:paraId="22CC91A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1.合作项目范围：甲方及甲方关联公司在安徽省境内的备建/在建/承建项目或其作为采购方的项目。</w:t>
      </w:r>
    </w:p>
    <w:p w14:paraId="43FCFF0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2.指乙方承诺以年度采购价向甲方上述项目供应产品，详见附件；最终以甲、乙双方在具体项目中签订的供货合同或订货单为准。</w:t>
      </w:r>
    </w:p>
    <w:p w14:paraId="60F50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3.甲方有权以其名义或其关联公司或相关项目方的名义，与乙方或乙方指定的关联公司、授权经销商/服务商签订具体的项目供货合同，双方将结合项目的具体情况确定，并督促具体签约双方的履约行为。</w:t>
      </w:r>
    </w:p>
    <w:p w14:paraId="64F496D1">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4.合作期限：</w:t>
      </w:r>
      <w:r>
        <w:rPr>
          <w:rFonts w:hint="eastAsia" w:ascii="仿宋_GB2312" w:hAnsi="仿宋_GB2312" w:eastAsia="仿宋_GB2312" w:cs="仿宋_GB2312"/>
          <w:sz w:val="24"/>
          <w:szCs w:val="24"/>
          <w:u w:val="single"/>
        </w:rPr>
        <w:t xml:space="preserve"> 1 </w:t>
      </w:r>
      <w:r>
        <w:rPr>
          <w:rFonts w:hint="eastAsia" w:ascii="仿宋_GB2312" w:hAnsi="仿宋_GB2312" w:eastAsia="仿宋_GB2312" w:cs="仿宋_GB2312"/>
          <w:sz w:val="24"/>
          <w:szCs w:val="24"/>
        </w:rPr>
        <w:t>年，自合同签订之日起开始计算周期。合同到期前30天，由双方根据合作情况协商决定是否延期或续签协议。如双方到期后未续签的，原未履行完毕的订货单仍执行原合同条款。</w:t>
      </w:r>
    </w:p>
    <w:p w14:paraId="7FAD9340">
      <w:pPr>
        <w:pStyle w:val="7"/>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二、质量标准、交货及验收方式</w:t>
      </w:r>
    </w:p>
    <w:p w14:paraId="7830E831">
      <w:pPr>
        <w:pStyle w:val="7"/>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1.乙方应确保交付的产品质量符合本框架协议及具体项目采购合同约定的技术要求、国家标准或生产厂家生产标准，乙方提供生产厂家质保书（复印件同等有效）。</w:t>
      </w:r>
    </w:p>
    <w:p w14:paraId="7C33020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2.产品运输:产品运输、装载及到达目的地卸货由乙方负责，相关的费用由乙方承担。</w:t>
      </w:r>
    </w:p>
    <w:p w14:paraId="5AE6F29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3.交货地点:以甲方具体通知地点为准。</w:t>
      </w:r>
    </w:p>
    <w:p w14:paraId="4F3926C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甲方应与乙方交货时当场对产品的型号、规格、外观、质量进行验收，交货验收仅是甲方对货物品种、外观的初步验收，不免除乙方应承担的产品质量义务及责任;对不符合质量要求的必须当场提出异议、拒收，在验收单中注明并由乙方交货代表/送货人签字证明。如型号、规格、外观、质</w:t>
      </w:r>
      <w:r>
        <w:rPr>
          <w:rFonts w:hint="eastAsia" w:ascii="仿宋_GB2312" w:hAnsi="仿宋_GB2312" w:eastAsia="仿宋_GB2312" w:cs="仿宋_GB2312"/>
          <w:sz w:val="24"/>
          <w:szCs w:val="24"/>
          <w:lang w:val="en-US" w:eastAsia="zh-CN"/>
        </w:rPr>
        <w:t>量</w:t>
      </w:r>
      <w:r>
        <w:rPr>
          <w:rFonts w:hint="eastAsia" w:ascii="仿宋_GB2312" w:hAnsi="仿宋_GB2312" w:eastAsia="仿宋_GB2312" w:cs="仿宋_GB2312"/>
          <w:sz w:val="24"/>
          <w:szCs w:val="24"/>
        </w:rPr>
        <w:t>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5DEDC07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乙方所供的产品，必须符合该项目的检测要求并提供相关的检测资料，检测费用由乙方承担。</w:t>
      </w:r>
    </w:p>
    <w:p w14:paraId="3A531A6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甲方有权对初步验收合格后的产品采取抽检、取样等方式检验，如有异议，经双方认可的第三方检测机构检测后仍不能满足质量技术和规格要求，甲方有权要求对该批货品按照乙方违约进行处理，因此产生的费用和给甲方造成的损失均由乙方承担。</w:t>
      </w:r>
    </w:p>
    <w:p w14:paraId="02FD67A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验收如发生争议，可交项目所在地由国家认证的相应检测资质的检验机构对产品进行复检。</w:t>
      </w:r>
    </w:p>
    <w:p w14:paraId="4A14710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8.检测费用约定：乙方承诺委外检测费用由乙方先行承担，检测结果出来后，检测费用由责任方承担。</w:t>
      </w:r>
    </w:p>
    <w:p w14:paraId="1DEA4C7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三、双方权利义务及违约责任</w:t>
      </w:r>
    </w:p>
    <w:p w14:paraId="50736620">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1、甲方的权利与义务</w:t>
      </w:r>
    </w:p>
    <w:p w14:paraId="5E53EBE7">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1.1本协议不具有排他性，甲方在同等条件下优先推荐并选购乙方产品，也可另行选择其他供货单位。</w:t>
      </w:r>
    </w:p>
    <w:p w14:paraId="55C3F25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有项目需求时甲方应及时与乙方沟通产品需求，告知乙方采购产品的范围、标准、供应商选择标准及其他相关要求，尽可能保证乙方取得项目供货权。若产品交货过程中，存在项目变动，甲方有义务及时通知乙方项目变动信息。</w:t>
      </w:r>
    </w:p>
    <w:p w14:paraId="0524242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1.3甲方承诺按照合同约定支付货款，且有义务对乙方的价格体系、未公开的技术信息、各项目进展情况和商业安排等商业信息进行保密，不得向第三方泄</w:t>
      </w:r>
      <w:r>
        <w:rPr>
          <w:rFonts w:hint="eastAsia" w:ascii="仿宋_GB2312" w:hAnsi="仿宋_GB2312" w:eastAsia="仿宋_GB2312" w:cs="仿宋_GB2312"/>
          <w:sz w:val="24"/>
          <w:szCs w:val="24"/>
          <w:lang w:val="en-US" w:eastAsia="zh-CN"/>
        </w:rPr>
        <w:t>露</w:t>
      </w:r>
      <w:r>
        <w:rPr>
          <w:rFonts w:hint="eastAsia" w:ascii="仿宋_GB2312" w:hAnsi="仿宋_GB2312" w:eastAsia="仿宋_GB2312" w:cs="仿宋_GB2312"/>
          <w:sz w:val="24"/>
          <w:szCs w:val="24"/>
        </w:rPr>
        <w:t>。</w:t>
      </w:r>
    </w:p>
    <w:p w14:paraId="0F9EF98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1.4甲方有权随时对乙方提供的材料进行抽检；乙方必须对所提供的产品质量、检测报告、</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报价中各项技术参数的可靠性、真实性负责，服从并配合甲方随时进行的产品质量技术性能抽检。如后期产品实际使用过程中发生质量、品质等问题，甲方有权退货、暂停付款且可直接终止年度合作协议。同时乙方负责在甲方指定期限内免费更换质量合格产品，如因此给甲方或第三方造成损失的，应负责据实赔偿全部费用，甲方有权保留根据本合同约定追究乙方逾期交货的违约责任。</w:t>
      </w:r>
    </w:p>
    <w:p w14:paraId="795E89E8">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有义务监督乙方合同的执行情况；甲方有权依据乙方已经供货的合作情况确定乙方是否具备继续承担其他项目(或其他标段、区)供货能力，如不具备继续承担其他项目(或其他标段、区)供货的能力，则甲方有权不按本年度框架协议书相关条款要求继续授予乙方其他具体项目(或其他标段、区)采购合同，并且甲方有权优先选择其他供货单位承接乙方剩余的具体项目的供货。</w:t>
      </w:r>
    </w:p>
    <w:p w14:paraId="2CF26D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若乙方提供的产品有明显缺陷或该产品在使用过程中达不到甲方要求的，乙方负有更换的责任，若更换后仍不符合要求的，甲方有权单方面解除合同，要求退货退款，因此造成甲方其他损失的由乙方承担赔偿责任。</w:t>
      </w:r>
    </w:p>
    <w:p w14:paraId="281EA595">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2、乙方权利与义务</w:t>
      </w:r>
    </w:p>
    <w:p w14:paraId="462E1E2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2.1乙方有义务保证其生产供货能力满足甲方开发项目的需要，对甲方所有的项目都必须按照本协议的规定确保供货的能力。</w:t>
      </w:r>
    </w:p>
    <w:p w14:paraId="6A167A0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2.2乙方有义务按照本协议和具体项目采购合同的要求履行合同;按合同约定时间内交货，并配合甲方验收事宜。</w:t>
      </w:r>
    </w:p>
    <w:p w14:paraId="31417F2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照甲方下达的采购订单备货，保证在要求的时间内完成供货。如所提供的产品存在数量缺少、外观瑕疵、质量不合格等导致验收不通过情形的，乙方应当在接到通知之日起3个工作日内完成调换或补充。</w:t>
      </w:r>
    </w:p>
    <w:p w14:paraId="7430185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2.4对于甲方项目所在地地方政府部门有准用检查要求的产品，乙方保证已经通过当地政府部门的准用检查，并获得了当地颁发的准许使用证明。</w:t>
      </w:r>
    </w:p>
    <w:p w14:paraId="43FE35B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2.5乙方有义务免费派遣现场施工技术指导人员到现场进行施工前的交底，乙方所派往工程现场之人员出现人身损害或财产损害情况的，由乙方自行解决，与甲方无关。</w:t>
      </w:r>
    </w:p>
    <w:p w14:paraId="011F7572">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2.6乙方有义务接受甲方考察人员的参观考察，并为考察工作提供便利；乙方必须及时向甲方推荐新产品、新技术，并配合甲方进行设计优化。</w:t>
      </w:r>
    </w:p>
    <w:p w14:paraId="3261C86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乙方依法按照国家规定的质保期，对所供应的产品承担相应的质量保证责任，如因产品存在(非甲方或施工等人为原因导致的)质量问题给甲方或甲方用户造成损失的，乙方向甲方承担相应的更换、保修、包退责任。</w:t>
      </w:r>
    </w:p>
    <w:p w14:paraId="431105D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2.8乙方保证对所供产品具有完全的所有权，不存在任何权利瑕疵，甲方因为采购或使用产品而被第三方追诉侵权，因此产生的一切损失均由乙方承担相应赔偿责任。</w:t>
      </w:r>
    </w:p>
    <w:p w14:paraId="379D58F4">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合同签订前乙方应提供合法有效的营业执照、法定代表人身份证明、销售许可证等材料，如非法定代表人签订本合同，乙方需出示法定代表人签字及加盖公章的合法有效的授权委托书。未经甲方书面允许乙方不得将此合同项下权利义务转让他人，擅自转让无效。</w:t>
      </w:r>
    </w:p>
    <w:p w14:paraId="2646165B">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四、费用及付款方式</w:t>
      </w:r>
    </w:p>
    <w:p w14:paraId="64C4C5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1.本合同总价:以甲方实际采购数量，据实结算。</w:t>
      </w:r>
    </w:p>
    <w:p w14:paraId="5E144A5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价款包括但不限于所有人工费、材料设备费、机械费、调试运行、技术培训、措施项目清单费用、检验试验费(含所有材料、完工后的成品等检测与试验)、管理费、保险费、规费、利润、移交前的维护和缺陷修补、相关政府部门报检费、验收费、风险费用、市场变化或政府颁布的相关文件等原因导致人工费、材料设备费等其他费用上涨的价差等合同约定工作内容的一切费用。除合同规定可调整的之外，结算时各全费用综合单价均不作调整。</w:t>
      </w:r>
    </w:p>
    <w:p w14:paraId="754C3553">
      <w:pPr>
        <w:numPr>
          <w:ilvl w:val="0"/>
          <w:numId w:val="5"/>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r>
        <w:rPr>
          <w:rFonts w:hint="eastAsia" w:ascii="仿宋_GB2312" w:hAnsi="仿宋_GB2312" w:eastAsia="仿宋_GB2312" w:cs="仿宋_GB2312"/>
          <w:sz w:val="24"/>
          <w:szCs w:val="24"/>
          <w:lang w:val="en-US" w:eastAsia="zh-CN"/>
        </w:rPr>
        <w:t>成交候选人</w:t>
      </w:r>
      <w:r>
        <w:rPr>
          <w:rFonts w:hint="eastAsia" w:ascii="仿宋_GB2312" w:hAnsi="仿宋_GB2312" w:eastAsia="仿宋_GB2312" w:cs="仿宋_GB2312"/>
          <w:sz w:val="24"/>
          <w:szCs w:val="24"/>
          <w:lang w:eastAsia="zh-CN"/>
        </w:rPr>
        <w:t>公示后，</w:t>
      </w:r>
      <w:r>
        <w:rPr>
          <w:rFonts w:hint="eastAsia" w:ascii="仿宋_GB2312" w:hAnsi="仿宋_GB2312" w:eastAsia="仿宋_GB2312" w:cs="仿宋_GB2312"/>
          <w:sz w:val="24"/>
          <w:szCs w:val="24"/>
          <w:lang w:val="en-US" w:eastAsia="zh-CN"/>
        </w:rPr>
        <w:t>在框架协议签订前，主供应单位需向甲方支付5万元履约保证金或5万元见索即付银行保函，备选供应单位需向甲方支付具体项目合同总价2%的履约保证金或提供合同总价5%的见索即付银行保函。</w:t>
      </w:r>
    </w:p>
    <w:p w14:paraId="525D94F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3.付款方式:货到工地经甲方指定签收人验收合格并签收，按月支付经验收合格的货物价款的80%；产品全部供货到现场经甲方指定验收人验收合格并办理完成结算手续后，甲方向乙方支付至结算价的97%，剩余3%作为质保金，在2年质保期结束后无质量问题一次性无息支付或乙方在结算后出具结算金额3%的质保金保函，出具质保金保函的，产品全部供货到现场经甲方指定验收人验收合格并办理完成结算手续后，甲方向乙方支付至结算价的100%。</w:t>
      </w:r>
    </w:p>
    <w:p w14:paraId="5E9F7A8C">
      <w:pPr>
        <w:numPr>
          <w:ilvl w:val="0"/>
          <w:numId w:val="0"/>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4.质保期:质保期两年，若乙方在响应文件中承诺质保期更长的，质保期从其承诺质保期，质保期为交工验收合格日期起，质保期内若出现产品质量问题，则甲方有权向乙方追偿因此导致的甲方直接经济损失。</w:t>
      </w:r>
    </w:p>
    <w:p w14:paraId="2546CC04">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rPr>
        <w:t>5.</w:t>
      </w:r>
      <w:r>
        <w:rPr>
          <w:rFonts w:hint="eastAsia" w:ascii="仿宋_GB2312" w:hAnsi="仿宋_GB2312" w:eastAsia="仿宋_GB2312" w:cs="仿宋_GB2312"/>
          <w:sz w:val="24"/>
          <w:szCs w:val="24"/>
          <w:highlight w:val="yellow"/>
          <w:lang w:val="en-US" w:eastAsia="zh-CN"/>
        </w:rPr>
        <w:t>自2025 年1月1日起计算，乙方须按累计供货金额每达800万，在甲方指定的交控建工集团任意开发或代建项目购买住宅1套、车位1个。1套住宅+1个车位预估价为80万元，购买人可为乙方或乙方指定的购买人。</w:t>
      </w:r>
    </w:p>
    <w:p w14:paraId="43DB591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6.房屋认购应在累计供货额达到每800万后的60天内完成房屋认购，如乙方未在约定时间内完成房屋认购，乙方需向甲方支付累计供货价款10%的违约金，甲方有权直接从乙方未支付的货款中直接扣除。</w:t>
      </w:r>
    </w:p>
    <w:p w14:paraId="7B7ACA61">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7.对于完成工抵的供应商获得下年度集采重点推荐资格；额外给予上年度合作额度10%的上浮空间；对合作供应商授予“战略合作伙伴"认证资质。</w:t>
      </w:r>
    </w:p>
    <w:p w14:paraId="3C68C9AF">
      <w:pPr>
        <w:spacing w:line="440" w:lineRule="exact"/>
        <w:ind w:firstLine="480" w:firstLineChars="200"/>
        <w:rPr>
          <w:rFonts w:hint="eastAsia" w:ascii="仿宋_GB2312" w:hAnsi="仿宋_GB2312" w:eastAsia="仿宋_GB2312" w:cs="仿宋_GB2312"/>
          <w:sz w:val="24"/>
          <w:szCs w:val="24"/>
          <w:lang w:val="en-US" w:eastAsia="zh-CN"/>
        </w:rPr>
      </w:pPr>
    </w:p>
    <w:p w14:paraId="196E72B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bookmarkStart w:id="140" w:name="_GoBack"/>
      <w:bookmarkEnd w:id="140"/>
      <w:r>
        <w:rPr>
          <w:rFonts w:hint="eastAsia" w:ascii="仿宋_GB2312" w:hAnsi="仿宋_GB2312" w:eastAsia="仿宋_GB2312" w:cs="仿宋_GB2312"/>
          <w:sz w:val="24"/>
          <w:szCs w:val="24"/>
        </w:rPr>
        <w:t>.乙方收款信息</w:t>
      </w:r>
    </w:p>
    <w:p w14:paraId="193855E0">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p w14:paraId="370187D9">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p>
    <w:p w14:paraId="33C5ECDC">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账户名:</w:t>
      </w:r>
      <w:r>
        <w:rPr>
          <w:rFonts w:hint="eastAsia" w:ascii="仿宋_GB2312" w:hAnsi="仿宋_GB2312" w:eastAsia="仿宋_GB2312" w:cs="仿宋_GB2312"/>
          <w:sz w:val="24"/>
          <w:szCs w:val="24"/>
          <w:u w:val="single"/>
        </w:rPr>
        <w:t xml:space="preserve">                        </w:t>
      </w:r>
    </w:p>
    <w:p w14:paraId="23F29131">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五、违约责任</w:t>
      </w:r>
    </w:p>
    <w:p w14:paraId="0E2F9F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未按合同约定的日期供货的，应承担逾期交货的违约责任，乙方应支付甲方逾期交货部分价款每日10%的违约金，迟延交付超过7日，且乙方未提出有效整改措施的，甲方有权解除合同或将乙方未完成的合同内容直接委托第三方继续履行，由第三方履行增加的费用，甲方将直接从乙方材料款中扣除。甲方解除合同的，可要求乙方按合同总价款的20%向甲方支付违约金，乙方同时承担甲方由此支付的诉讼费、律师费等实现债权的费用。</w:t>
      </w:r>
    </w:p>
    <w:p w14:paraId="76E21CF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2.乙方未按合同约定的品牌、规格、型号、质量等要求向甲方供货的，视为违约，甲方有权拒收，且应按甲方要求更换，因此造成逾期供货的，乙方应按违约责任第1条承担违约责任。</w:t>
      </w:r>
    </w:p>
    <w:p w14:paraId="4A337DB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3.乙方在本合同期内，违反约定单方面提高合同产品价格，视为违约，乙方均应按涨价部分的10倍向甲方承担违约金。</w:t>
      </w:r>
    </w:p>
    <w:p w14:paraId="22C5F3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4.本合同签订后，乙方未按照本合同约定提出解除或终止本合同的，视为违约，乙方应向甲方承担合同额20%的违约金。</w:t>
      </w:r>
    </w:p>
    <w:p w14:paraId="425A316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供货完成后，产品使用过程中发生质量问题，乙方均负有保修或更换的责任，经乙方维修或更换后仍不能满足甲方使用的，视为乙方违约，甲方有权退货，退货后，乙方应在3日内退还甲方已付款，且均应按合同总价款的20%向甲方支付损失赔偿责任。</w:t>
      </w:r>
    </w:p>
    <w:p w14:paraId="154EE1C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对其供货范围内所提供的产品质量负有责任。如发生质量事故，造成人员伤亡或经济损失，而事故原因经查明确系产品质量所致，乙方应承担一切法律风险及赔偿责任，如导致甲方对第三方承担责任或被处罚的，乙方均应全额赔偿甲方由此遭受的损失。</w:t>
      </w:r>
    </w:p>
    <w:p w14:paraId="2B147A8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7.乙方有本合同约定的其他违约行为的，经甲方告知后仍无法到达合同要求的，甲方有权解除合同，并可要求乙方按合同总价款的20%向甲方支付的违约金。</w:t>
      </w:r>
    </w:p>
    <w:p w14:paraId="03B49C7A">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六、通知送达</w:t>
      </w:r>
    </w:p>
    <w:p w14:paraId="0EA4435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约定，本合同履行中一方向另一方发出的通知应按下列地址和联系方式发出。任何一方改变下述联系信息的，应至少提前5日书面通知对方，如未接到对方的改变通知，则按下列信息发送的通知在本条下款规定的时间视为送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990"/>
        <w:gridCol w:w="2729"/>
      </w:tblGrid>
      <w:tr w14:paraId="569B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42334FCC">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0A3726A">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65E3CE8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14:paraId="25E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C8693E">
            <w:pPr>
              <w:keepNext w:val="0"/>
              <w:keepLines w:val="0"/>
              <w:suppressLineNumbers w:val="0"/>
              <w:spacing w:before="0" w:beforeAutospacing="0" w:after="0" w:afterAutospacing="0" w:line="440" w:lineRule="exact"/>
              <w:ind w:left="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13B5C6A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安徽省合肥市包河区高速时代广场C1栋1008室</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1EF9865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3B93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16905F0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7D9D22C5">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45DE74F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00D7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67CD27C6">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FED5B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B7F7D62">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13CA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946DCB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指定联系人</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8F4DF2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949B1">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bl>
    <w:p w14:paraId="3CB3F39E">
      <w:pPr>
        <w:spacing w:line="44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通知以专人手递方式送达的，以对方签收之日视为送达时间;以邮寄方式送达的，应当采用邮政特快专递(EMS)方式，对方签收时间为通知送达时间，一方无正当理由拒绝签收的或因故无法送达被退回的，不影响通知的送达效力。任何情况下，以特快专递方式发出通知后5个工作日即视为送达。以传真、电子邮件、微信或短信的形式发送通知的，已到达双方特定系统之时，视为已经送达。</w:t>
      </w:r>
    </w:p>
    <w:p w14:paraId="414D29E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七、本合同的修改、补充和解除</w:t>
      </w:r>
    </w:p>
    <w:p w14:paraId="0A8163D9">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1.本合同经双方协商一致同意，可以修改、补充、完善;对于合同的修改、补充、完善，双方应另行签订补充合同，其效力等同于本合同。补充合同内容如与本合同约定事项不一致，以补充合同约定内容为准。</w:t>
      </w:r>
    </w:p>
    <w:p w14:paraId="78434DE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2.有下列情形之一的，双方任何一方均可经书面通知对方，提前解除合同：</w:t>
      </w:r>
    </w:p>
    <w:p w14:paraId="383F3A3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（1）因不可抗力致使无法实现合同目的；</w:t>
      </w:r>
    </w:p>
    <w:p w14:paraId="34AFBFD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（2）任何一方明确表示或以自己的行为表明不履行主要义务，对方可解除合同并追究不履行一方的违约责任；</w:t>
      </w:r>
    </w:p>
    <w:p w14:paraId="7CF4FED6">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（3）任何一方延迟履行主要义务，经催后在合理期限内仍未履行，对方可解除合同并追究不履行一方的违约责任；</w:t>
      </w:r>
    </w:p>
    <w:p w14:paraId="333B6A0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（4）任何一方延迟履行合同义务或有其他违约行为，致使不能实现合同目的，对方可解除合同并追究不履行一方的违约责任。</w:t>
      </w:r>
    </w:p>
    <w:p w14:paraId="78B3CA8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3、免责条款</w:t>
      </w:r>
    </w:p>
    <w:p w14:paraId="68C84C9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因自然灾害等不可抗力原因造成的合同无法履行，且双方自身无过错，造成的延误或不能履约均可免责，但必须采取一切补救措施以减小损失并提供证明，否则应对扩大的损失进行赔偿。</w:t>
      </w:r>
    </w:p>
    <w:p w14:paraId="66A215CD">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八、其他约定</w:t>
      </w:r>
    </w:p>
    <w:p w14:paraId="0B9D1778">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方均有义务对本协议内容及获取的对方商业秘密、未公开的技术信息、各项目进展情况、商业安排等商业信息进行保密，不得向合同双方以外的任何第三方泄露，甲方不得将乙方供应的货物转销或用于签约项目以外的项目，甲方因项目需求的调整需要变更订单的，应提前与乙方取得联系，如乙方未进行备货，则乙方应配合甲方的变更需求，但乙方已进行备货的，除非乙方同意，否则甲方不得变更订单。</w:t>
      </w:r>
    </w:p>
    <w:p w14:paraId="6D7FD32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2.具体项目开展合作时，另行签订书面供货合同，该等文件为本框架协议不可分割的组成部分，具体约定与本框架协议不一致的，以具体供货合同为准。</w:t>
      </w:r>
    </w:p>
    <w:p w14:paraId="021E9FB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框架协议及具体项目供货合同均不构成甲方对乙方在任何具体项目中必然获得供货权的承诺，甲方有权根据项目实际需求自主选择供货方；乙方不得以任何理由（包括但不限于主张甲方未保障其在具体项目中的供货权等）向甲方主张任何权利、索赔或追究任何责任。</w:t>
      </w:r>
    </w:p>
    <w:p w14:paraId="47B5FBE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4.因本协议引发的一切争议，双方应协商解决，协商不成的，任一方均可向甲方所在地人民法院提起诉讼解决。    </w:t>
      </w:r>
    </w:p>
    <w:p w14:paraId="1B812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5.本协议一式肆份，甲、乙方各执贰份，经双方签字盖章后生效，具有同等法律效力。</w:t>
      </w:r>
    </w:p>
    <w:p w14:paraId="29BA774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6.附件。</w:t>
      </w:r>
    </w:p>
    <w:p w14:paraId="03AE758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附件1：乙方营业执照、法人身份证复印件及有权销售货物的其他证明复印件</w:t>
      </w:r>
    </w:p>
    <w:p w14:paraId="2D62FB9A">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4A46DD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31584431">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2BBA06A7">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70C0238B">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                         乙方（盖章）： </w:t>
      </w:r>
    </w:p>
    <w:p w14:paraId="7F626484">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14:paraId="25DC7AEE">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或授权委托人（签章）：                 或授权委托人（签章）：</w:t>
      </w:r>
    </w:p>
    <w:p w14:paraId="24DD3D1C">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日期：</w:t>
      </w:r>
    </w:p>
    <w:p w14:paraId="0A149C31">
      <w:pPr>
        <w:pStyle w:val="4"/>
        <w:spacing w:beforeLines="0" w:afterLines="0"/>
        <w:rPr>
          <w:rFonts w:hint="eastAsia"/>
          <w:sz w:val="24"/>
          <w:szCs w:val="24"/>
        </w:rPr>
      </w:pPr>
    </w:p>
    <w:p w14:paraId="3E457FB1">
      <w:pPr>
        <w:spacing w:beforeLines="0" w:afterLines="0"/>
        <w:rPr>
          <w:rFonts w:hint="default"/>
          <w:sz w:val="21"/>
          <w:szCs w:val="24"/>
        </w:rPr>
      </w:pPr>
    </w:p>
    <w:p w14:paraId="58CDCA1D">
      <w:pPr>
        <w:pStyle w:val="4"/>
        <w:spacing w:beforeLines="0" w:afterLines="0"/>
        <w:rPr>
          <w:rFonts w:hint="eastAsia"/>
          <w:sz w:val="24"/>
          <w:szCs w:val="24"/>
        </w:rPr>
      </w:pPr>
    </w:p>
    <w:p w14:paraId="1D39A1D0">
      <w:pPr>
        <w:rPr>
          <w:rFonts w:hint="eastAsia"/>
        </w:rPr>
      </w:pPr>
    </w:p>
    <w:p w14:paraId="463E0220">
      <w:pPr>
        <w:spacing w:beforeLines="0" w:afterLines="0"/>
        <w:rPr>
          <w:rFonts w:hint="default"/>
          <w:sz w:val="21"/>
          <w:szCs w:val="24"/>
        </w:rPr>
      </w:pPr>
    </w:p>
    <w:p w14:paraId="28CA4BB7">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附件1:乙方营业执照、法人身份证复印件及有权销售货物的其他证明复印件</w:t>
      </w:r>
    </w:p>
    <w:p w14:paraId="05FA575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4C728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C64F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94E233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9A3E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E89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E4CA2D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042BB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0F5C2F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BBBD26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D53338E">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9ADBC1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0E2A5A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180628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E9095A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A5A21D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F9E8E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38853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9AFD43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9A3873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57975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2B27D4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7631C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7A92F4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4E6B7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86B1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2C08CB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1222FE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890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402095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2D6A4D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6358B8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1C039A8">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6E4F2FD">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AFA6CF3">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3464A9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5C190D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9B812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50854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1F727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37E0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91E2E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E11A7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F8B2FE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3A8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845F00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2DAEC2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CEBB16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CE677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F825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46D94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0396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D3B7D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A646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308DB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7BFEE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59843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8AE80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1789D7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03EA46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D0DD7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5CA3E4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7E6384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D4BAE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36703C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88E7BE0">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09DF8C85">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54048D4B">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6E68DEDC">
      <w:pPr>
        <w:spacing w:beforeLines="0" w:afterLines="0" w:line="420" w:lineRule="exact"/>
        <w:rPr>
          <w:rFonts w:hint="default"/>
          <w:sz w:val="21"/>
          <w:szCs w:val="24"/>
        </w:rPr>
      </w:pPr>
    </w:p>
    <w:p w14:paraId="446DA806">
      <w:pPr>
        <w:spacing w:beforeLines="0" w:afterLines="0"/>
        <w:rPr>
          <w:rFonts w:hint="eastAsia"/>
          <w:sz w:val="21"/>
          <w:szCs w:val="24"/>
        </w:rPr>
      </w:pPr>
      <w:r>
        <w:rPr>
          <w:rFonts w:hint="eastAsia"/>
          <w:sz w:val="21"/>
          <w:szCs w:val="24"/>
        </w:rPr>
        <w:br w:type="page"/>
      </w:r>
    </w:p>
    <w:p w14:paraId="4531F23F">
      <w:pPr>
        <w:spacing w:beforeLines="0" w:afterLines="0"/>
        <w:rPr>
          <w:rFonts w:hint="eastAsia"/>
          <w:sz w:val="21"/>
          <w:szCs w:val="24"/>
        </w:rPr>
      </w:pPr>
    </w:p>
    <w:p w14:paraId="439422F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Cs/>
          <w:kern w:val="2"/>
          <w:sz w:val="44"/>
          <w:szCs w:val="44"/>
        </w:rPr>
      </w:pPr>
      <w:permStart w:id="0" w:edGrp="everyone"/>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项目</w:t>
      </w:r>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采购合同</w:t>
      </w:r>
    </w:p>
    <w:permEnd w:id="0"/>
    <w:p w14:paraId="775B492C">
      <w:pPr>
        <w:keepNext w:val="0"/>
        <w:keepLines w:val="0"/>
        <w:widowControl w:val="0"/>
        <w:suppressLineNumbers w:val="0"/>
        <w:autoSpaceDE w:val="0"/>
        <w:autoSpaceDN/>
        <w:spacing w:before="0" w:beforeAutospacing="0" w:after="0" w:afterAutospacing="0" w:line="560" w:lineRule="exact"/>
        <w:ind w:left="588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7FDB4339">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甲方（采购方）：</w:t>
      </w:r>
      <w:permStart w:id="1" w:edGrp="everyone"/>
      <w:r>
        <w:rPr>
          <w:rFonts w:hint="eastAsia" w:ascii="仿宋_GB2312" w:hAnsi="Calibri" w:eastAsia="仿宋_GB2312" w:cs="仿宋_GB2312"/>
          <w:kern w:val="2"/>
          <w:sz w:val="28"/>
          <w:szCs w:val="28"/>
          <w:u w:val="single"/>
          <w:lang w:val="en-US" w:eastAsia="zh-CN" w:bidi="ar"/>
        </w:rPr>
        <w:t xml:space="preserve"> 安徽省经工物资有限公司 </w:t>
      </w:r>
      <w:r>
        <w:rPr>
          <w:rFonts w:hint="eastAsia" w:ascii="仿宋_GB2312" w:hAnsi="Calibri" w:eastAsia="仿宋_GB2312" w:cs="仿宋_GB2312"/>
          <w:kern w:val="2"/>
          <w:sz w:val="28"/>
          <w:szCs w:val="28"/>
          <w:lang w:val="en-US" w:eastAsia="zh-CN" w:bidi="ar"/>
        </w:rPr>
        <w:t>（以</w:t>
      </w:r>
      <w:permEnd w:id="1"/>
      <w:r>
        <w:rPr>
          <w:rFonts w:hint="eastAsia" w:ascii="仿宋_GB2312" w:hAnsi="Calibri" w:eastAsia="仿宋_GB2312" w:cs="仿宋_GB2312"/>
          <w:kern w:val="2"/>
          <w:sz w:val="28"/>
          <w:szCs w:val="28"/>
          <w:lang w:val="en-US" w:eastAsia="zh-CN" w:bidi="ar"/>
        </w:rPr>
        <w:t>下简称甲方）</w:t>
      </w:r>
    </w:p>
    <w:p w14:paraId="2AF6A15C">
      <w:pPr>
        <w:keepNext w:val="0"/>
        <w:keepLines w:val="0"/>
        <w:widowControl w:val="0"/>
        <w:suppressLineNumbers w:val="0"/>
        <w:tabs>
          <w:tab w:val="left" w:pos="5370"/>
        </w:tabs>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permStart w:id="2" w:edGrp="everyone"/>
      <w:r>
        <w:rPr>
          <w:rFonts w:hint="eastAsia" w:ascii="仿宋_GB2312" w:hAnsi="Calibri" w:eastAsia="仿宋_GB2312" w:cs="仿宋_GB2312"/>
          <w:kern w:val="2"/>
          <w:sz w:val="28"/>
          <w:szCs w:val="28"/>
          <w:lang w:val="en-US" w:eastAsia="zh-CN" w:bidi="ar"/>
        </w:rPr>
        <w:t>乙方（供应方）：</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 xml:space="preserve">（以下简称乙方） </w:t>
      </w:r>
      <w:permEnd w:id="2"/>
      <w:r>
        <w:rPr>
          <w:rFonts w:hint="eastAsia" w:ascii="仿宋_GB2312" w:hAnsi="Calibri" w:eastAsia="仿宋_GB2312" w:cs="仿宋_GB2312"/>
          <w:kern w:val="2"/>
          <w:sz w:val="28"/>
          <w:szCs w:val="28"/>
          <w:lang w:val="en-US" w:eastAsia="zh-CN" w:bidi="ar"/>
        </w:rPr>
        <w:t xml:space="preserve"> </w:t>
      </w:r>
    </w:p>
    <w:p w14:paraId="53613776">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依据《中华人民共和国民法典》及有关规定，甲、乙双方经过友好协商，</w:t>
      </w:r>
      <w:permStart w:id="3" w:edGrp="everyone"/>
      <w:r>
        <w:rPr>
          <w:rFonts w:hint="eastAsia" w:ascii="仿宋_GB2312" w:hAnsi="Calibri" w:eastAsia="仿宋_GB2312" w:cs="仿宋_GB2312"/>
          <w:kern w:val="2"/>
          <w:sz w:val="28"/>
          <w:szCs w:val="28"/>
          <w:lang w:val="en-US" w:eastAsia="zh-CN" w:bidi="ar"/>
        </w:rPr>
        <w:t>现就甲方向乙方购买</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用于</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项目有关事宜，达成如下一致条款，以资双方共同遵照执行：</w:t>
      </w:r>
    </w:p>
    <w:p w14:paraId="797DED7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第一条  合同价款</w:t>
      </w:r>
    </w:p>
    <w:p w14:paraId="6A9783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color w:val="000000"/>
          <w:kern w:val="2"/>
          <w:sz w:val="28"/>
          <w:szCs w:val="28"/>
          <w:u w:val="single"/>
        </w:rPr>
      </w:pPr>
      <w:r>
        <w:rPr>
          <w:rFonts w:hint="eastAsia" w:ascii="仿宋_GB2312" w:hAnsi="Calibri" w:eastAsia="仿宋_GB2312" w:cs="仿宋_GB2312"/>
          <w:color w:val="000000"/>
          <w:kern w:val="2"/>
          <w:sz w:val="28"/>
          <w:szCs w:val="28"/>
          <w:lang w:val="en-US" w:eastAsia="zh-CN" w:bidi="ar"/>
        </w:rPr>
        <w:t>1.本合同暂定总价为（含增值税）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元）。其中，不含增值税价款为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元），增值税税率为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元）。若因国家税务政策变化导致税率调整，不含增值税价格不变，具体税金以变更后的税率计算。</w:t>
      </w:r>
    </w:p>
    <w:permEnd w:id="3"/>
    <w:p w14:paraId="476C197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具体报价清单见附件，产品为固定综合单价，已经包含税费、材料费（含辅材）、运输费、材料装卸车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2231356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宋体" w:hAnsi="宋体" w:eastAsia="宋体" w:cs="宋体"/>
          <w:b/>
          <w:bCs/>
          <w:kern w:val="2"/>
          <w:sz w:val="22"/>
          <w:szCs w:val="22"/>
        </w:rPr>
      </w:pPr>
      <w:r>
        <w:rPr>
          <w:rFonts w:hint="eastAsia" w:ascii="黑体" w:hAnsi="宋体" w:eastAsia="黑体" w:cs="黑体"/>
          <w:b w:val="0"/>
          <w:bCs/>
          <w:kern w:val="2"/>
          <w:sz w:val="28"/>
          <w:szCs w:val="28"/>
          <w:lang w:val="en-US" w:eastAsia="zh-CN" w:bidi="ar"/>
        </w:rPr>
        <w:t>第二条  交货方式、时间及地点</w:t>
      </w:r>
    </w:p>
    <w:p w14:paraId="1C8F540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1.交货方式：乙方负责运送至甲方指定地点。</w:t>
      </w:r>
    </w:p>
    <w:p w14:paraId="6EE2A9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交货地点：甲方指定地点，乙方负责运送至甲方指定现场，并按甲方指定地点卸货。运输费用和装卸费用均包含在合同价款内，由乙方承担。货物在验收合格并交付给甲方前的毁损、灭失，损失由乙方全额承担。</w:t>
      </w:r>
    </w:p>
    <w:p w14:paraId="62CB55B7">
      <w:pPr>
        <w:keepNext w:val="0"/>
        <w:keepLines w:val="0"/>
        <w:widowControl/>
        <w:suppressLineNumbers w:val="0"/>
        <w:wordWrap w:val="0"/>
        <w:topLinePunct/>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3.交货时间：乙方须在接到甲方通知后，按甲方通知时间完成供货。通知方式包括但不限于电话、短信、邮件、传真、微信，</w:t>
      </w:r>
      <w:permStart w:id="4" w:edGrp="everyone"/>
      <w:r>
        <w:rPr>
          <w:rFonts w:hint="eastAsia" w:ascii="仿宋_GB2312" w:hAnsi="Calibri" w:eastAsia="仿宋_GB2312" w:cs="仿宋_GB2312"/>
          <w:kern w:val="2"/>
          <w:sz w:val="28"/>
          <w:szCs w:val="28"/>
          <w:lang w:val="en-US" w:eastAsia="zh-CN" w:bidi="ar"/>
        </w:rPr>
        <w:t>乙方确</w:t>
      </w:r>
    </w:p>
    <w:p w14:paraId="1DECECB5">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认其有效联系人姓名</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，电话为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，联系地址为：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4"/>
      <w:r>
        <w:rPr>
          <w:rFonts w:hint="eastAsia" w:ascii="仿宋_GB2312" w:hAnsi="Calibri" w:eastAsia="仿宋_GB2312" w:cs="仿宋_GB2312"/>
          <w:kern w:val="2"/>
          <w:sz w:val="28"/>
          <w:szCs w:val="28"/>
          <w:lang w:val="en-US" w:eastAsia="zh-CN" w:bidi="ar"/>
        </w:rPr>
        <w:t>甲方以上述任一方式发出的通知均为合法有效的通知。</w:t>
      </w:r>
    </w:p>
    <w:p w14:paraId="433A9DE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4.在运输过程中发生车辆人员毁损、伤亡等安全事故或发生对周围环境、水流、道路、树木、作物等损害事故时，由乙方承担各种赔偿费用，并由乙方与承运人、承保人办理理赔事宜。</w:t>
      </w:r>
    </w:p>
    <w:p w14:paraId="3DC70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5.乙方应在物资装车/船前24小时之内短信、微信等形式将合同号、物资名称、数量、运输工具名称、车/船号及启运日期通知甲方现场联系人。</w:t>
      </w:r>
    </w:p>
    <w:p w14:paraId="3AD97EA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第三条  验收</w:t>
      </w:r>
    </w:p>
    <w:p w14:paraId="48427F4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1.乙方按约将货物送至现场后，需将货物卸至甲方指定地点，并经甲方签收确认。甲方指定</w:t>
      </w:r>
      <w:permStart w:id="5" w:edGrp="everyone"/>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（联系方式为：</w:t>
      </w:r>
      <w:r>
        <w:rPr>
          <w:rFonts w:hint="eastAsia" w:ascii="仿宋_GB2312" w:hAnsi="Calibri" w:eastAsia="仿宋_GB2312" w:cs="仿宋_GB2312"/>
          <w:kern w:val="2"/>
          <w:sz w:val="28"/>
          <w:szCs w:val="28"/>
          <w:u w:val="single"/>
          <w:lang w:val="en-US" w:eastAsia="zh-CN" w:bidi="ar"/>
        </w:rPr>
        <w:t xml:space="preserve">           </w:t>
      </w:r>
      <w:permEnd w:id="5"/>
      <w:r>
        <w:rPr>
          <w:rFonts w:hint="eastAsia" w:ascii="仿宋_GB2312" w:hAnsi="Calibri" w:eastAsia="仿宋_GB2312" w:cs="仿宋_GB2312"/>
          <w:kern w:val="2"/>
          <w:sz w:val="28"/>
          <w:szCs w:val="28"/>
          <w:lang w:val="en-US" w:eastAsia="zh-CN" w:bidi="ar"/>
        </w:rPr>
        <w:t>）为货物签收确认人。如果现场签收人员发生变更，甲方会通知乙方重新指定。</w:t>
      </w:r>
    </w:p>
    <w:p w14:paraId="61003AF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559278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3.在乙方将货物送至现场后，甲方有权在现场车上或货物堆放在指定地点后按物品的特性及行业惯例进行验收。如甲方认为乙方送货的数量与送货单记载数量不符的，则可以随时抽检。</w:t>
      </w:r>
    </w:p>
    <w:p w14:paraId="1821A69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kern w:val="2"/>
          <w:sz w:val="28"/>
          <w:szCs w:val="28"/>
          <w:lang w:val="en-US" w:eastAsia="zh-CN" w:bidi="ar"/>
        </w:rPr>
        <w:t xml:space="preserve"> 4.如品</w:t>
      </w:r>
      <w:r>
        <w:rPr>
          <w:rFonts w:hint="eastAsia" w:ascii="仿宋_GB2312" w:hAnsi="Calibri" w:eastAsia="仿宋_GB2312" w:cs="仿宋_GB2312"/>
          <w:b w:val="0"/>
          <w:bCs w:val="0"/>
          <w:kern w:val="2"/>
          <w:sz w:val="28"/>
          <w:szCs w:val="28"/>
          <w:lang w:val="en-US" w:eastAsia="zh-CN" w:bidi="ar"/>
        </w:rPr>
        <w:t>种、型号、规格、数量不符合规定或合同约定的，甲方在验收完毕后的5日内向乙方提出异议和处理意见。对货物质量的异议不受时间限制，随时发现可以随时提出异议。乙方在收到甲方异议后，应在5日内负责处理；如果乙方逾期不予处理或收到异议通知后置之不理的，视为同意甲方提出的异议和处理意见，甲方有权将收到的货物自行处理，因此发生的费用和损失由乙方承担。</w:t>
      </w:r>
    </w:p>
    <w:p w14:paraId="1769FDA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5.乙方所供的产品，必须符合该项目的检测要求并提供相关的检测资料，检测费用由乙方承担。</w:t>
      </w:r>
    </w:p>
    <w:p w14:paraId="30DE71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6.甲方有权对初步验收合格后的产品采取抽检、取样等方式交检验机构检验，任何被检验的货物如不能满足质量技术和规格要求，甲方有权要求对该批货品按照乙方违约进行处理，因此产生的费用和给甲方造成的损失均由乙方承担。</w:t>
      </w:r>
    </w:p>
    <w:p w14:paraId="2963ED3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7.验收如发生争议，可交由项目所在地具由国家认证的相应检测资质的检验机构对产品进行复检。检测费用约定：乙方承诺委外检测费用由乙方先行承担，检测结果出来后，检测费用由责任方承担。</w:t>
      </w:r>
    </w:p>
    <w:p w14:paraId="1191CD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 xml:space="preserve">8.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72A79AE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第四条 产品质量和包装</w:t>
      </w:r>
    </w:p>
    <w:p w14:paraId="79C3786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w:t>
      </w:r>
      <w:r>
        <w:rPr>
          <w:rFonts w:hint="eastAsia" w:ascii="仿宋_GB2312" w:hAnsi="Calibri" w:eastAsia="仿宋_GB2312" w:cs="仿宋_GB2312"/>
          <w:b w:val="0"/>
          <w:bCs w:val="0"/>
          <w:kern w:val="2"/>
          <w:sz w:val="28"/>
          <w:szCs w:val="28"/>
          <w:lang w:val="en-US" w:eastAsia="zh-CN" w:bidi="ar"/>
        </w:rPr>
        <w:t>本合同约定货物的质保期为2年，自最后一批次供货验收合格之日起计算</w:t>
      </w:r>
      <w:r>
        <w:rPr>
          <w:rFonts w:hint="eastAsia" w:ascii="仿宋_GB2312" w:hAnsi="Calibri" w:eastAsia="仿宋_GB2312" w:cs="仿宋_GB2312"/>
          <w:kern w:val="2"/>
          <w:sz w:val="28"/>
          <w:szCs w:val="28"/>
          <w:lang w:val="en-US" w:eastAsia="zh-CN" w:bidi="ar"/>
        </w:rPr>
        <w:t>，若乙方在响应文件中承诺质保期更长的，</w:t>
      </w:r>
      <w:r>
        <w:rPr>
          <w:rFonts w:hint="eastAsia" w:ascii="仿宋_GB2312" w:hAnsi="Calibri" w:eastAsia="仿宋_GB2312" w:cs="仿宋_GB2312"/>
          <w:b w:val="0"/>
          <w:bCs w:val="0"/>
          <w:kern w:val="2"/>
          <w:sz w:val="28"/>
          <w:szCs w:val="28"/>
          <w:lang w:val="en-US" w:eastAsia="zh-CN" w:bidi="ar"/>
        </w:rPr>
        <w:t>双方同意以期限较长的为准</w:t>
      </w:r>
      <w:r>
        <w:rPr>
          <w:rFonts w:hint="eastAsia" w:ascii="仿宋_GB2312" w:hAnsi="Calibri" w:eastAsia="仿宋_GB2312" w:cs="仿宋_GB2312"/>
          <w:kern w:val="2"/>
          <w:sz w:val="28"/>
          <w:szCs w:val="28"/>
          <w:lang w:val="en-US" w:eastAsia="zh-CN" w:bidi="ar"/>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E80B09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w:t>
      </w:r>
      <w:r>
        <w:rPr>
          <w:rFonts w:hint="eastAsia" w:ascii="仿宋_GB2312" w:hAnsi="Calibri" w:eastAsia="仿宋_GB2312" w:cs="仿宋_GB2312"/>
          <w:b w:val="0"/>
          <w:bCs w:val="0"/>
          <w:kern w:val="2"/>
          <w:sz w:val="28"/>
          <w:szCs w:val="28"/>
          <w:lang w:val="en-US" w:eastAsia="zh-CN" w:bidi="ar"/>
        </w:rPr>
        <w:t>在质保期内，因货物使用过程中出现任何问题影响到甲方正常使用的，乙方须在收到甲方通知后</w:t>
      </w:r>
      <w:r>
        <w:rPr>
          <w:rFonts w:hint="eastAsia" w:ascii="仿宋_GB2312" w:hAnsi="Calibri" w:eastAsia="仿宋_GB2312" w:cs="仿宋_GB2312"/>
          <w:b w:val="0"/>
          <w:bCs w:val="0"/>
          <w:kern w:val="2"/>
          <w:sz w:val="28"/>
          <w:szCs w:val="28"/>
          <w:u w:val="single"/>
          <w:lang w:val="en-US" w:eastAsia="zh-CN" w:bidi="ar"/>
        </w:rPr>
        <w:t xml:space="preserve"> 3 </w:t>
      </w:r>
      <w:r>
        <w:rPr>
          <w:rFonts w:hint="eastAsia" w:ascii="仿宋_GB2312" w:hAnsi="Calibri" w:eastAsia="仿宋_GB2312" w:cs="仿宋_GB2312"/>
          <w:b w:val="0"/>
          <w:bCs w:val="0"/>
          <w:kern w:val="2"/>
          <w:sz w:val="28"/>
          <w:szCs w:val="28"/>
          <w:lang w:val="en-US" w:eastAsia="zh-CN" w:bidi="ar"/>
        </w:rPr>
        <w:t>日内进行维修或更换，因此产生的费用由乙方承担。</w:t>
      </w:r>
      <w:r>
        <w:rPr>
          <w:rFonts w:hint="eastAsia" w:ascii="仿宋_GB2312" w:hAnsi="Calibri" w:eastAsia="仿宋_GB2312" w:cs="仿宋_GB2312"/>
          <w:kern w:val="2"/>
          <w:sz w:val="28"/>
          <w:szCs w:val="28"/>
          <w:lang w:val="en-US" w:eastAsia="zh-CN" w:bidi="ar"/>
        </w:rPr>
        <w:t>质保期满后，若有零部件或货物出现故障，经鉴定属于寿命异常问题（明显短于该零部件或货物正常寿命）时，则由乙方负责免费更换维修。质保期满后，乙方以优惠价格向甲方提供所需的零配件或货物。</w:t>
      </w:r>
    </w:p>
    <w:p w14:paraId="630E93C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3.乙方必须提供合同标的中所有产品的合格证、产品说明书、检测报告、第三方检测报告（如有）、随机附件、工具（如有），货到现场后交给现场的收货人员。</w:t>
      </w:r>
    </w:p>
    <w:p w14:paraId="70AEA69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4.合同标的中若有进口产品，则乙方必须提供报关单、原产地证明、单机产品序列号、原生产厂商质量保证书、等证明材料。</w:t>
      </w:r>
    </w:p>
    <w:p w14:paraId="4927EB0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5.产品包装应符合国家标准。乙方应承担由于其包装或其防护措施不妥而引起货物锈蚀、损坏和丢失等任何损失的责任或费用。空包装物及包装箱乙方承诺不再回收，均无偿归甲方所有。</w:t>
      </w:r>
    </w:p>
    <w:p w14:paraId="40C384B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仿宋_GB2312" w:eastAsia="黑体" w:cs="仿宋_GB2312"/>
          <w:kern w:val="2"/>
          <w:sz w:val="28"/>
          <w:szCs w:val="28"/>
        </w:rPr>
      </w:pPr>
      <w:r>
        <w:rPr>
          <w:rFonts w:hint="eastAsia" w:ascii="黑体" w:hAnsi="宋体" w:eastAsia="黑体" w:cs="黑体"/>
          <w:b w:val="0"/>
          <w:bCs/>
          <w:kern w:val="2"/>
          <w:sz w:val="28"/>
          <w:szCs w:val="28"/>
          <w:lang w:val="en-US" w:eastAsia="zh-CN" w:bidi="ar"/>
        </w:rPr>
        <w:t>第五条  结算方式及期限</w:t>
      </w:r>
    </w:p>
    <w:p w14:paraId="330AC7D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permStart w:id="6" w:edGrp="everyone"/>
      <w:r>
        <w:rPr>
          <w:rFonts w:hint="eastAsia" w:ascii="仿宋_GB2312" w:hAnsi="Calibri" w:eastAsia="仿宋_GB2312" w:cs="仿宋_GB2312"/>
          <w:kern w:val="2"/>
          <w:sz w:val="28"/>
          <w:szCs w:val="28"/>
          <w:lang w:val="en-US" w:eastAsia="zh-CN" w:bidi="ar"/>
        </w:rPr>
        <w:t>1.货到工地经甲方指定签收人验收合格并签收，按月支付经验收合格的货物价款的80%。</w:t>
      </w:r>
    </w:p>
    <w:p w14:paraId="67C3850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2.产品全部供货到现场经甲方指定验收人验收合格并办理完成结算手续后，甲方向乙方支付至结算价的97%。</w:t>
      </w:r>
    </w:p>
    <w:p w14:paraId="0E23FB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剩余3%作为质保金，在2年质保期结束后无质量问题一次性无息支付或乙方在结算后出具结算金额3%的质保金保函，出具质保金保函的，产品全部供货到现场经甲方指定验收人验收合格并办理完成结算手续后，甲方向乙方支付至结算价的100%。</w:t>
      </w:r>
    </w:p>
    <w:permEnd w:id="6"/>
    <w:p w14:paraId="5B39D6B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3E67E1F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成交候选人公示后，在框架协议签订前，主供应单位需向甲方支付5万元履约保证金或5万元见索即付银行保函，备选供应单位需向甲方支付具体项目合同总价2%的履约保证金或提供合同总价5%的见索即付银行保函。</w:t>
      </w:r>
    </w:p>
    <w:p w14:paraId="6D83ECA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6.乙方应当向甲方提供符合甲方财务要求的国家税务局13%增值税专用发票，发票需要做到“三流一致”，即“货物、劳务及应税服务流”、“资金流”、“发票流”必须都是同一受票方。</w:t>
      </w:r>
    </w:p>
    <w:p w14:paraId="41BDD55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7.双方特别约定：遵循“先开票、后付款”的原则，甲方付款前，乙方应按双方确认的应付金额向甲方提供增值税专用发票，并于发票开具后</w:t>
      </w:r>
      <w:r>
        <w:rPr>
          <w:rFonts w:hint="eastAsia" w:ascii="仿宋_GB2312" w:hAnsi="Calibri" w:eastAsia="仿宋_GB2312" w:cs="仿宋_GB2312"/>
          <w:kern w:val="2"/>
          <w:sz w:val="28"/>
          <w:szCs w:val="28"/>
          <w:u w:val="single"/>
          <w:lang w:val="en-US" w:eastAsia="zh-CN" w:bidi="ar"/>
        </w:rPr>
        <w:t xml:space="preserve">  7  </w:t>
      </w:r>
      <w:r>
        <w:rPr>
          <w:rFonts w:hint="eastAsia" w:ascii="仿宋_GB2312" w:hAnsi="Calibri" w:eastAsia="仿宋_GB2312" w:cs="仿宋_GB2312"/>
          <w:kern w:val="2"/>
          <w:sz w:val="28"/>
          <w:szCs w:val="28"/>
          <w:lang w:val="en-US" w:eastAsia="zh-CN" w:bidi="ar"/>
        </w:rPr>
        <w:t>日内提交给甲方。甲方收到乙方发票后，按合同约定向乙方付款，否则甲方有权迟延付款。</w:t>
      </w:r>
    </w:p>
    <w:p w14:paraId="006FD9E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8.如甲方出现资金困难，乙方同意给予</w:t>
      </w:r>
      <w:r>
        <w:rPr>
          <w:rFonts w:hint="eastAsia" w:ascii="仿宋_GB2312" w:hAnsi="Calibri" w:eastAsia="仿宋_GB2312" w:cs="仿宋_GB2312"/>
          <w:kern w:val="2"/>
          <w:sz w:val="28"/>
          <w:szCs w:val="28"/>
          <w:u w:val="single"/>
          <w:lang w:val="en-US" w:eastAsia="zh-CN" w:bidi="ar"/>
        </w:rPr>
        <w:t xml:space="preserve">  1  </w:t>
      </w:r>
      <w:r>
        <w:rPr>
          <w:rFonts w:hint="eastAsia" w:ascii="仿宋_GB2312" w:hAnsi="Calibri" w:eastAsia="仿宋_GB2312" w:cs="仿宋_GB2312"/>
          <w:kern w:val="2"/>
          <w:sz w:val="28"/>
          <w:szCs w:val="28"/>
          <w:lang w:val="en-US" w:eastAsia="zh-CN" w:bidi="ar"/>
        </w:rPr>
        <w:t>个月的付款宽限期，在此宽限期间内不视为甲方违约且不计息，乙方不得以此为由中断本项目的货物供应。</w:t>
      </w:r>
    </w:p>
    <w:p w14:paraId="15F892A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第六条  违约责任</w:t>
      </w:r>
    </w:p>
    <w:p w14:paraId="783FED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5C80144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2.乙方不能随车提供质保书等其他单证的，甲方有权拒绝收货，乙方应承担退货等责任和费用，并向甲方支付未提供单证的货款金额的10%的违约金，并承担由此给甲方造成的全部损失。</w:t>
      </w:r>
    </w:p>
    <w:p w14:paraId="6A2A65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15DC563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660A452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5.乙方不得擅自停止供货，否则甲方有权重新选择其它供应商，同时乙方承担本合同第一条中含增值税总价30%的违约金，并赔偿给甲方造成的一切损失。</w:t>
      </w:r>
    </w:p>
    <w:p w14:paraId="058F89E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6.乙方应按合同约定及时向甲方提供增值税专用发票，逾期提供的，每逾期一天，乙方应向甲方支付违约金</w:t>
      </w:r>
      <w:r>
        <w:rPr>
          <w:rFonts w:hint="eastAsia" w:ascii="仿宋_GB2312" w:hAnsi="Calibri" w:eastAsia="仿宋_GB2312" w:cs="仿宋_GB2312"/>
          <w:kern w:val="2"/>
          <w:sz w:val="28"/>
          <w:szCs w:val="28"/>
          <w:u w:val="single"/>
          <w:lang w:val="en-US" w:eastAsia="zh-CN" w:bidi="ar"/>
        </w:rPr>
        <w:t xml:space="preserve">  1000  </w:t>
      </w:r>
      <w:r>
        <w:rPr>
          <w:rFonts w:hint="eastAsia" w:ascii="仿宋_GB2312" w:hAnsi="Calibri" w:eastAsia="仿宋_GB2312" w:cs="仿宋_GB2312"/>
          <w:kern w:val="2"/>
          <w:sz w:val="28"/>
          <w:szCs w:val="28"/>
          <w:lang w:val="en-US" w:eastAsia="zh-CN" w:bidi="ar"/>
        </w:rPr>
        <w:t>元。因乙方开具的增值税专用发票造成甲方无法及时认证、抵扣税款等情形的，乙方需向甲方承担赔偿责任包括但不限于税款、滞纳金、罚款及相关损失等。</w:t>
      </w:r>
    </w:p>
    <w:p w14:paraId="764A5A4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7.为了保障物资供应，甲方有权向任意第三方采购本合同约定的货物，乙方对此明知且认可，乙方不得以此要求甲方承担任何违约责任。</w:t>
      </w:r>
    </w:p>
    <w:p w14:paraId="6488B7F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8.乙方违反本合同义务，致使甲方通过法律途径向乙方主张权利的，乙方除应承担相应赔偿及费用外，还应承担甲方为此而支出的律师费、诉讼费等。</w:t>
      </w:r>
    </w:p>
    <w:p w14:paraId="688A496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9.对于乙方因违反本合同约定需支付的违约金，甲方有权在应付货款中直接予以扣除。</w:t>
      </w:r>
    </w:p>
    <w:p w14:paraId="186CD2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10.禁止转包分包</w:t>
      </w:r>
    </w:p>
    <w:p w14:paraId="0747C5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鉴于保护合同双方权益及确保工程质量和进度，双方明确以下转包分包相关事项:</w:t>
      </w:r>
    </w:p>
    <w:p w14:paraId="24518F7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（1）乙方不得将本合同项下的任何部分工程转包或分包给任何第三方。如有特殊情况，必须经甲方书面同意。</w:t>
      </w:r>
    </w:p>
    <w:p w14:paraId="342FC8B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（2）若乙方未经甲方同意擅自转包或分包 ,甲方有权立即终止本合同并要求乙方承担由此造成的一切损失。</w:t>
      </w:r>
    </w:p>
    <w:p w14:paraId="0276258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（3）乙方与任何第三方签订的与本合同相关的协议或承诺书 ,对甲方不具有法律约束力，除非得到甲方的书面确认。</w:t>
      </w:r>
    </w:p>
    <w:p w14:paraId="68A70E2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（4）甲方有权对乙方的工程实施情况进行监督 ,乙方应配合并提供必要的便利条件。如发现乙方存在违法转包分包行为，甲方有权采取法律手段维护自身权益。</w:t>
      </w:r>
    </w:p>
    <w:p w14:paraId="28AE112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第七条  其他约定</w:t>
      </w:r>
    </w:p>
    <w:p w14:paraId="69042EF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1.乙方送货车辆到甲方现场后，在行驶和卸货过程中，乙方驾驶人员应自行察看周围地形，乙方车辆在甲方现场若出现事故产生损失或造成对第三人侵权等其他情形，一切损失和责任均由乙方自行承担。</w:t>
      </w:r>
    </w:p>
    <w:p w14:paraId="04F836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2.乙方必须服从甲方指定项目部的全面协调管理工作，乙方在装卸中，严格遵守执行安全操作规范、防火规定、工艺规范等规范规定以及质量标准。</w:t>
      </w:r>
    </w:p>
    <w:p w14:paraId="706C266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FF576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7D3F4A3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5.本合同中所涉及的债权，乙方不得转让，也不得用于任何形式的担保。若乙方擅自转让或用于担保的，则该行为无效，乙方应赔偿甲方因此受到的全部损失。</w:t>
      </w:r>
    </w:p>
    <w:p w14:paraId="127C589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第八条  争议解决方式</w:t>
      </w:r>
    </w:p>
    <w:p w14:paraId="5358898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在履行合同期间发生纠纷，先由双方协商解决，协商不成，双方约定向甲方所在地人民法院提起诉讼。</w:t>
      </w:r>
    </w:p>
    <w:p w14:paraId="3A1F3DD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kern w:val="2"/>
          <w:sz w:val="28"/>
          <w:szCs w:val="28"/>
          <w:lang w:val="en-US" w:eastAsia="zh-CN" w:bidi="ar"/>
        </w:rPr>
        <w:t>第</w:t>
      </w:r>
      <w:r>
        <w:rPr>
          <w:rFonts w:hint="eastAsia" w:ascii="黑体" w:hAnsi="宋体" w:eastAsia="黑体" w:cs="黑体"/>
          <w:b w:val="0"/>
          <w:bCs/>
          <w:kern w:val="2"/>
          <w:sz w:val="28"/>
          <w:szCs w:val="28"/>
          <w:lang w:val="en-US" w:eastAsia="zh-CN" w:bidi="ar"/>
        </w:rPr>
        <w:t>九条</w:t>
      </w:r>
    </w:p>
    <w:p w14:paraId="586D2F8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1.本合同未尽事宜，由双方另行协商解决并签订补充协议。</w:t>
      </w:r>
    </w:p>
    <w:p w14:paraId="0FB7396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2.本合同自甲乙双方签字或盖章之日起生效。</w:t>
      </w:r>
    </w:p>
    <w:p w14:paraId="348C268B">
      <w:pPr>
        <w:pStyle w:val="17"/>
        <w:keepNext w:val="0"/>
        <w:keepLines w:val="0"/>
        <w:widowControl w:val="0"/>
        <w:suppressLineNumbers w:val="0"/>
        <w:autoSpaceDE w:val="0"/>
        <w:autoSpaceDN/>
        <w:spacing w:before="0" w:beforeAutospacing="1"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 xml:space="preserve"> 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737B06D4">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576B84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附件：1.廉政合同</w:t>
      </w:r>
    </w:p>
    <w:p w14:paraId="00A1FB21">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28"/>
          <w:szCs w:val="28"/>
          <w:lang w:val="en-US" w:eastAsia="zh-CN" w:bidi="ar"/>
        </w:rPr>
        <w:t>2.安全生产合同</w:t>
      </w:r>
    </w:p>
    <w:p w14:paraId="263D7CAD">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val="en-US" w:eastAsia="zh-CN" w:bidi="ar"/>
        </w:rPr>
        <w:t>3.报价清单</w:t>
      </w:r>
    </w:p>
    <w:p w14:paraId="179C67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（以下无正文）</w:t>
      </w:r>
    </w:p>
    <w:p w14:paraId="31F08A5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7E08D9B">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9B22A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D4C737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C58D8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2C693C">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251C2A51">
      <w:pPr>
        <w:keepNext w:val="0"/>
        <w:keepLines w:val="0"/>
        <w:widowControl w:val="0"/>
        <w:suppressLineNumbers w:val="0"/>
        <w:wordWrap w:val="0"/>
        <w:autoSpaceDE w:val="0"/>
        <w:autoSpaceDN/>
        <w:spacing w:before="0" w:beforeAutospacing="0" w:after="0" w:afterAutospacing="0" w:line="560" w:lineRule="exact"/>
        <w:ind w:left="0" w:right="0"/>
        <w:jc w:val="both"/>
        <w:rPr>
          <w:rFonts w:hint="default" w:ascii="Calibri" w:hAnsi="Calibri" w:eastAsia="宋体" w:cs="Times New Roman"/>
          <w:kern w:val="2"/>
          <w:sz w:val="21"/>
          <w:szCs w:val="21"/>
        </w:rPr>
      </w:pPr>
      <w:permStart w:id="7" w:edGrp="everyone"/>
      <w:r>
        <w:rPr>
          <w:rFonts w:hint="eastAsia" w:ascii="仿宋_GB2312" w:hAnsi="Calibri" w:eastAsia="仿宋_GB2312" w:cs="仿宋_GB2312"/>
          <w:kern w:val="2"/>
          <w:sz w:val="28"/>
          <w:szCs w:val="28"/>
          <w:lang w:val="en-US" w:eastAsia="zh-CN" w:bidi="ar"/>
        </w:rPr>
        <w:t xml:space="preserve">甲方：安徽省经工物资有限公司       乙方：  </w:t>
      </w:r>
    </w:p>
    <w:p w14:paraId="61E30B7C">
      <w:pPr>
        <w:keepNext w:val="0"/>
        <w:keepLines w:val="0"/>
        <w:widowControl w:val="0"/>
        <w:suppressLineNumbers w:val="0"/>
        <w:wordWrap w:val="0"/>
        <w:autoSpaceDE w:val="0"/>
        <w:autoSpaceDN/>
        <w:spacing w:before="0" w:beforeAutospacing="0" w:after="0" w:afterAutospacing="0" w:line="560" w:lineRule="exact"/>
        <w:ind w:left="0" w:right="0" w:firstLine="2800" w:firstLineChars="10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（盖章）                          （盖章）</w:t>
      </w:r>
    </w:p>
    <w:p w14:paraId="46CE98A1">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36154A9F">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44FA0B5C">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纳税识别号：91340100MA2MY6GA6E     纳税识别号:</w:t>
      </w:r>
    </w:p>
    <w:p w14:paraId="40068A3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地址：安徽省合肥市蜀山区甘泉路     地址：</w:t>
      </w:r>
    </w:p>
    <w:p w14:paraId="10E6FF36">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398号                               </w:t>
      </w:r>
    </w:p>
    <w:p w14:paraId="74944895">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开户银行：工行合肥蜀山支行         开户银行：</w:t>
      </w:r>
    </w:p>
    <w:p w14:paraId="0602C76E">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账号：1302012119200034038          账号：</w:t>
      </w:r>
    </w:p>
    <w:p w14:paraId="2084335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电子邮箱： jgwzswgl@163.com        电子邮箱：</w:t>
      </w:r>
    </w:p>
    <w:p w14:paraId="1F07C6D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276B74E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br w:type="page"/>
      </w:r>
    </w:p>
    <w:p w14:paraId="54526E95">
      <w:pPr>
        <w:rPr>
          <w:rFonts w:hint="eastAsia" w:ascii="Calibri" w:hAnsi="Calibri" w:eastAsia="宋体" w:cs="Times New Roman"/>
          <w:kern w:val="2"/>
          <w:sz w:val="21"/>
          <w:szCs w:val="21"/>
        </w:rPr>
        <w:sectPr>
          <w:pgSz w:w="11906" w:h="16838"/>
          <w:pgMar w:top="1440" w:right="1800" w:bottom="1440" w:left="1800" w:header="851" w:footer="992" w:gutter="0"/>
          <w:pgNumType w:fmt="decimal"/>
          <w:cols w:space="425" w:num="1"/>
          <w:docGrid w:type="lines" w:linePitch="312" w:charSpace="0"/>
        </w:sectPr>
      </w:pPr>
    </w:p>
    <w:permEnd w:id="7"/>
    <w:p w14:paraId="12AF2B88">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spacing w:val="0"/>
          <w:kern w:val="2"/>
          <w:sz w:val="28"/>
          <w:szCs w:val="28"/>
        </w:rPr>
      </w:pPr>
      <w:r>
        <w:rPr>
          <w:rFonts w:hint="eastAsia" w:ascii="仿宋_GB2312" w:hAnsi="Calibri" w:eastAsia="仿宋_GB2312" w:cs="仿宋_GB2312"/>
          <w:b/>
          <w:bCs/>
          <w:spacing w:val="0"/>
          <w:kern w:val="2"/>
          <w:sz w:val="28"/>
          <w:szCs w:val="28"/>
          <w:lang w:val="en-US" w:eastAsia="zh-CN" w:bidi="ar"/>
        </w:rPr>
        <w:t>附件1：</w:t>
      </w:r>
    </w:p>
    <w:p w14:paraId="54AFBE5C">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spacing w:val="0"/>
          <w:kern w:val="2"/>
          <w:sz w:val="44"/>
          <w:szCs w:val="44"/>
        </w:rPr>
      </w:pPr>
      <w:r>
        <w:rPr>
          <w:rFonts w:hint="eastAsia" w:ascii="方正小标宋简体" w:hAnsi="方正小标宋简体" w:eastAsia="方正小标宋简体" w:cs="方正小标宋简体"/>
          <w:b/>
          <w:bCs/>
          <w:spacing w:val="0"/>
          <w:kern w:val="2"/>
          <w:sz w:val="44"/>
          <w:szCs w:val="44"/>
          <w:lang w:val="en-US" w:eastAsia="zh-CN" w:bidi="ar"/>
        </w:rPr>
        <w:t>廉 政 合 同</w:t>
      </w:r>
    </w:p>
    <w:p w14:paraId="23D1A097">
      <w:pPr>
        <w:pStyle w:val="17"/>
        <w:keepNext w:val="0"/>
        <w:keepLines w:val="0"/>
        <w:widowControl w:val="0"/>
        <w:suppressLineNumbers w:val="0"/>
        <w:autoSpaceDE w:val="0"/>
        <w:autoSpaceDN/>
        <w:spacing w:before="0" w:beforeAutospacing="1" w:after="120" w:afterAutospacing="0" w:line="560" w:lineRule="exact"/>
        <w:ind w:left="0" w:right="0" w:firstLine="422" w:firstLineChars="200"/>
        <w:jc w:val="both"/>
        <w:rPr>
          <w:rFonts w:hint="eastAsia" w:ascii="Calibri" w:hAnsi="Calibri" w:eastAsia="宋体" w:cs="Times New Roman"/>
          <w:b/>
          <w:bCs/>
          <w:kern w:val="2"/>
          <w:sz w:val="21"/>
          <w:szCs w:val="21"/>
        </w:rPr>
      </w:pPr>
      <w:r>
        <w:rPr>
          <w:rFonts w:hint="eastAsia" w:ascii="Calibri" w:hAnsi="Calibri" w:eastAsia="宋体" w:cs="Times New Roman"/>
          <w:b/>
          <w:bCs/>
          <w:kern w:val="2"/>
          <w:sz w:val="21"/>
          <w:szCs w:val="21"/>
          <w:lang w:val="en-US" w:eastAsia="zh-CN" w:bidi="ar"/>
        </w:rPr>
        <w:t xml:space="preserve"> </w:t>
      </w:r>
    </w:p>
    <w:p w14:paraId="22A941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spacing w:val="0"/>
          <w:kern w:val="2"/>
          <w:sz w:val="28"/>
          <w:szCs w:val="28"/>
          <w:lang w:val="en-US" w:eastAsia="zh-CN" w:bidi="ar"/>
        </w:rPr>
        <w:t xml:space="preserve">为抓好物资设备等采购供应中的党风廉政建设，规范、约束采供双方行为，确保双方工作人员廉洁从业， </w:t>
      </w:r>
      <w:permStart w:id="8" w:edGrp="everyone"/>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8"/>
      <w:r>
        <w:rPr>
          <w:rFonts w:hint="eastAsia" w:ascii="仿宋_GB2312" w:hAnsi="Calibri" w:eastAsia="仿宋_GB2312" w:cs="仿宋_GB2312"/>
          <w:kern w:val="2"/>
          <w:sz w:val="28"/>
          <w:szCs w:val="28"/>
          <w:lang w:val="en-US" w:eastAsia="zh-CN" w:bidi="ar"/>
        </w:rPr>
        <w:t>项目名称）的采购人</w:t>
      </w:r>
      <w:permStart w:id="9" w:edGrp="everyone"/>
      <w:r>
        <w:rPr>
          <w:rFonts w:hint="eastAsia" w:ascii="仿宋_GB2312" w:hAnsi="Calibri" w:eastAsia="仿宋_GB2312" w:cs="仿宋_GB2312"/>
          <w:kern w:val="2"/>
          <w:sz w:val="28"/>
          <w:szCs w:val="28"/>
          <w:u w:val="single"/>
          <w:lang w:val="en-US" w:eastAsia="zh-CN" w:bidi="ar"/>
        </w:rPr>
        <w:t xml:space="preserve"> 安徽省经工物资有限公司  </w:t>
      </w:r>
      <w:permEnd w:id="9"/>
      <w:r>
        <w:rPr>
          <w:rFonts w:hint="eastAsia" w:ascii="仿宋_GB2312" w:hAnsi="Calibri" w:eastAsia="仿宋_GB2312" w:cs="仿宋_GB2312"/>
          <w:kern w:val="2"/>
          <w:sz w:val="28"/>
          <w:szCs w:val="28"/>
          <w:lang w:val="en-US" w:eastAsia="zh-CN" w:bidi="ar"/>
        </w:rPr>
        <w:t>（采购人名称，以下简称甲方）与该项目的供货商</w:t>
      </w:r>
      <w:permStart w:id="10" w:edGrp="everyone"/>
      <w:r>
        <w:rPr>
          <w:rFonts w:hint="eastAsia" w:ascii="仿宋_GB2312" w:hAnsi="Calibri" w:eastAsia="仿宋_GB2312" w:cs="仿宋_GB2312"/>
          <w:kern w:val="2"/>
          <w:sz w:val="28"/>
          <w:szCs w:val="28"/>
          <w:u w:val="single"/>
          <w:lang w:val="en-US" w:eastAsia="zh-CN" w:bidi="ar"/>
        </w:rPr>
        <w:t xml:space="preserve">               </w:t>
      </w:r>
      <w:permEnd w:id="10"/>
      <w:r>
        <w:rPr>
          <w:rFonts w:hint="eastAsia" w:ascii="仿宋_GB2312" w:hAnsi="Calibri" w:eastAsia="仿宋_GB2312" w:cs="仿宋_GB2312"/>
          <w:kern w:val="2"/>
          <w:sz w:val="28"/>
          <w:szCs w:val="28"/>
          <w:lang w:val="en-US" w:eastAsia="zh-CN" w:bidi="ar"/>
        </w:rPr>
        <w:t>（供货商名称，以下简称乙方），特订立如下合同。</w:t>
      </w:r>
    </w:p>
    <w:p w14:paraId="74D6FB2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1.甲乙双方的权利和义务</w:t>
      </w:r>
    </w:p>
    <w:p w14:paraId="4736992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（1）严格遵守党的政策和国家有关法律法规的有关规定。</w:t>
      </w:r>
    </w:p>
    <w:p w14:paraId="4BAA6C6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（2）严格执行</w:t>
      </w:r>
      <w:permStart w:id="11" w:edGrp="everyone"/>
      <w:r>
        <w:rPr>
          <w:rFonts w:hint="eastAsia" w:ascii="仿宋_GB2312" w:hAnsi="Calibri" w:eastAsia="仿宋_GB2312" w:cs="仿宋_GB2312"/>
          <w:kern w:val="2"/>
          <w:sz w:val="28"/>
          <w:szCs w:val="28"/>
          <w:u w:val="single"/>
          <w:lang w:val="en-US" w:eastAsia="zh-CN" w:bidi="ar"/>
        </w:rPr>
        <w:t xml:space="preserve">                             </w:t>
      </w:r>
      <w:permEnd w:id="11"/>
      <w:r>
        <w:rPr>
          <w:rFonts w:hint="eastAsia" w:ascii="仿宋_GB2312" w:hAnsi="Calibri" w:eastAsia="仿宋_GB2312" w:cs="仿宋_GB2312"/>
          <w:kern w:val="2"/>
          <w:sz w:val="28"/>
          <w:szCs w:val="28"/>
          <w:lang w:val="en-US" w:eastAsia="zh-CN" w:bidi="ar"/>
        </w:rPr>
        <w:t>（合同文件名称）合同文件，自觉按合同办事。</w:t>
      </w:r>
    </w:p>
    <w:p w14:paraId="11F3E2A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（3）双方的业务活动坚持公开、公正、诚信、透明的原则（法律认定的商业秘密和合同文件另有规定除外），不得损害国家和集体利益。</w:t>
      </w:r>
    </w:p>
    <w:p w14:paraId="18FB95C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（4）建立健全廉政制度，开展廉政教育和廉洁文化建设，公布举报电话，监督并认真查处违规违纪违法行为。</w:t>
      </w:r>
    </w:p>
    <w:p w14:paraId="04EC5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（5）发现对方在业务活动中有违反廉政规定的行为，有及时提醒对方纠正的权利和义务。</w:t>
      </w:r>
    </w:p>
    <w:p w14:paraId="7253F62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（6）发现对方严重违反本合同义务条款的行为，有向有关部门举报、建议给予处理并要求告知处理结果的权利。</w:t>
      </w:r>
    </w:p>
    <w:p w14:paraId="2B1FBE5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2.甲方的义务</w:t>
      </w:r>
    </w:p>
    <w:p w14:paraId="75DDFC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（1）甲方及其工作人员不得利用职务之便索要或接受乙方的礼品、礼金、消费卡和有价证券、股权、其他金融产品等财物。</w:t>
      </w:r>
    </w:p>
    <w:p w14:paraId="2AC656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（2）甲方及其工作人员不得在利用职务之便为乙方谋取利益之前或之后，约定在其离职后收受乙方财物，并在离职后收受。</w:t>
      </w:r>
    </w:p>
    <w:p w14:paraId="173DA8E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（3）甲方及其工作人员不得在乙方报销应由甲方或个人支付的费用等。</w:t>
      </w:r>
    </w:p>
    <w:p w14:paraId="65C6EFE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67A49B3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0A38FDC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（6）甲方及其工作人员不得要求乙方购买合同规定外的材料和设备。    </w:t>
      </w:r>
    </w:p>
    <w:p w14:paraId="14742A8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（7）甲方及其工作人员不得有其他可能影响廉洁从业的行为。</w:t>
      </w:r>
    </w:p>
    <w:p w14:paraId="0FBC437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3.乙方的义务</w:t>
      </w:r>
    </w:p>
    <w:p w14:paraId="6067E06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（1）乙方及其工作人员不得以任何形式向甲方及其工作人员行贿或馈赠礼品、礼金、消费卡和有价证券、股权、其他金融产品等财物，以及回扣、好处费、感谢费等。</w:t>
      </w:r>
    </w:p>
    <w:p w14:paraId="4EDED03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（2）乙方及其工作人员不得与甲方及其工作人员约定，甲方及其工作人员利用职务之便为乙方谋取利益，乙方在其离职后给予财物。</w:t>
      </w:r>
    </w:p>
    <w:p w14:paraId="09C10A3E">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（3）乙方不得以任何名义为甲方及其工作人员报销由甲方单位或个人支付的任何费用。</w:t>
      </w:r>
    </w:p>
    <w:p w14:paraId="6E7671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4728CE3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（5）乙方及其工作人员不得为甲方工作人员住房装修、婚丧嫁娶、出国出境、旅游等提供方便；不得为甲方工作人员的特定关系人以安排工作为名，使其不实际工作却获取薪酬。</w:t>
      </w:r>
    </w:p>
    <w:p w14:paraId="441779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（6）乙方及其工作人员不得有其他可能影响廉洁从业的行为。</w:t>
      </w:r>
    </w:p>
    <w:p w14:paraId="06F9CBC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4.违约责任</w:t>
      </w:r>
    </w:p>
    <w:p w14:paraId="7798DF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7D3718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（2）乙方及其工作人员违反本合同第1、3条，按管理权限，依据有关规定，给予相关处理；给甲方单位造成经济损失的，应予以赔偿。</w:t>
      </w:r>
    </w:p>
    <w:p w14:paraId="3FA102F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5.本合同有效期为甲乙双方签署之日起至该供货合同履行完毕后止。</w:t>
      </w:r>
    </w:p>
    <w:p w14:paraId="592A110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6.本合同作为</w:t>
      </w:r>
      <w:permStart w:id="12" w:edGrp="everyone"/>
      <w:r>
        <w:rPr>
          <w:rFonts w:hint="eastAsia" w:ascii="仿宋_GB2312" w:hAnsi="Calibri" w:eastAsia="仿宋_GB2312" w:cs="仿宋_GB2312"/>
          <w:kern w:val="2"/>
          <w:sz w:val="28"/>
          <w:szCs w:val="28"/>
          <w:u w:val="single"/>
          <w:lang w:val="en-US" w:eastAsia="zh-CN" w:bidi="ar"/>
        </w:rPr>
        <w:t xml:space="preserve">                             </w:t>
      </w:r>
      <w:permEnd w:id="12"/>
      <w:r>
        <w:rPr>
          <w:rFonts w:hint="eastAsia" w:ascii="仿宋_GB2312" w:hAnsi="Calibri" w:eastAsia="仿宋_GB2312" w:cs="仿宋_GB2312"/>
          <w:kern w:val="2"/>
          <w:sz w:val="28"/>
          <w:szCs w:val="28"/>
          <w:lang w:val="en-US" w:eastAsia="zh-CN" w:bidi="ar"/>
        </w:rPr>
        <w:t>（合同文件名称）的附件，与采购合同具有同等的法律效力，经合同双方签署立即生效。</w:t>
      </w:r>
    </w:p>
    <w:p w14:paraId="2BA3D8A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3639956D">
      <w:pPr>
        <w:pStyle w:val="17"/>
        <w:keepNext w:val="0"/>
        <w:keepLines w:val="0"/>
        <w:widowControl w:val="0"/>
        <w:suppressLineNumbers w:val="0"/>
        <w:spacing w:before="0" w:beforeAutospacing="1" w:after="120" w:afterAutospacing="0"/>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617457CE">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5E6D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                  乙方（盖章）：</w:t>
      </w:r>
    </w:p>
    <w:p w14:paraId="070ACCA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48DFC19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03213A06">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439D64A5">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
    <w:p w14:paraId="09D7B130">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ermStart w:id="13" w:edGrp="everyone"/>
      <w:permEnd w:id="13"/>
      <w:r>
        <w:rPr>
          <w:rFonts w:hint="eastAsia" w:ascii="仿宋_GB2312" w:hAnsi="Calibri" w:eastAsia="仿宋_GB2312" w:cs="仿宋_GB2312"/>
          <w:b/>
          <w:bCs w:val="0"/>
          <w:kern w:val="2"/>
          <w:sz w:val="28"/>
          <w:szCs w:val="28"/>
          <w:lang w:val="en-US" w:eastAsia="zh-CN" w:bidi="ar"/>
        </w:rPr>
        <w:t>附件2：</w:t>
      </w:r>
    </w:p>
    <w:p w14:paraId="1B405F48">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val="0"/>
          <w:kern w:val="2"/>
          <w:sz w:val="44"/>
          <w:szCs w:val="44"/>
        </w:rPr>
      </w:pPr>
      <w:r>
        <w:rPr>
          <w:rFonts w:hint="eastAsia" w:ascii="方正小标宋简体" w:hAnsi="方正小标宋简体" w:eastAsia="方正小标宋简体" w:cs="方正小标宋简体"/>
          <w:b/>
          <w:bCs w:val="0"/>
          <w:kern w:val="2"/>
          <w:sz w:val="44"/>
          <w:szCs w:val="44"/>
          <w:lang w:val="en-US" w:eastAsia="zh-CN" w:bidi="ar"/>
        </w:rPr>
        <w:t>安全生产合同</w:t>
      </w:r>
    </w:p>
    <w:p w14:paraId="50866532">
      <w:pPr>
        <w:pStyle w:val="17"/>
        <w:keepNext w:val="0"/>
        <w:keepLines w:val="0"/>
        <w:widowControl w:val="0"/>
        <w:suppressLineNumbers w:val="0"/>
        <w:autoSpaceDE w:val="0"/>
        <w:autoSpaceDN/>
        <w:spacing w:before="0" w:beforeAutospacing="1" w:after="120" w:afterAutospacing="0" w:line="560" w:lineRule="exact"/>
        <w:ind w:left="0" w:right="0" w:firstLine="420" w:firstLineChars="20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92AF3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为在</w:t>
      </w:r>
      <w:permStart w:id="14" w:edGrp="everyone"/>
      <w:r>
        <w:rPr>
          <w:rFonts w:hint="eastAsia" w:ascii="仿宋_GB2312" w:hAnsi="Calibri" w:eastAsia="仿宋_GB2312" w:cs="仿宋_GB2312"/>
          <w:spacing w:val="0"/>
          <w:kern w:val="2"/>
          <w:sz w:val="28"/>
          <w:szCs w:val="28"/>
          <w:lang w:val="en-US" w:eastAsia="zh-CN" w:bidi="ar"/>
        </w:rPr>
        <w:t xml:space="preserve"> </w:t>
      </w:r>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14"/>
      <w:r>
        <w:rPr>
          <w:rFonts w:hint="eastAsia" w:ascii="仿宋_GB2312" w:hAnsi="Calibri" w:eastAsia="仿宋_GB2312" w:cs="仿宋_GB2312"/>
          <w:kern w:val="2"/>
          <w:sz w:val="28"/>
          <w:szCs w:val="28"/>
          <w:lang w:val="en-US" w:eastAsia="zh-CN" w:bidi="ar"/>
        </w:rPr>
        <w:t xml:space="preserve">项目名称）的实施过程中创造安全、高效的施工环境，切实搞好本项目的安全管理工作，本项目采购人 </w:t>
      </w:r>
      <w:permStart w:id="15" w:edGrp="everyone"/>
      <w:r>
        <w:rPr>
          <w:rFonts w:hint="eastAsia" w:ascii="仿宋_GB2312" w:hAnsi="Calibri" w:eastAsia="仿宋_GB2312" w:cs="仿宋_GB2312"/>
          <w:kern w:val="2"/>
          <w:sz w:val="28"/>
          <w:szCs w:val="28"/>
          <w:lang w:val="en-US" w:eastAsia="zh-CN" w:bidi="ar"/>
        </w:rPr>
        <w:t xml:space="preserve"> </w:t>
      </w:r>
      <w:r>
        <w:rPr>
          <w:rFonts w:hint="eastAsia" w:ascii="仿宋_GB2312" w:hAnsi="Calibri" w:eastAsia="仿宋_GB2312" w:cs="仿宋_GB2312"/>
          <w:kern w:val="2"/>
          <w:sz w:val="28"/>
          <w:szCs w:val="28"/>
          <w:u w:val="single"/>
          <w:lang w:val="en-US" w:eastAsia="zh-CN" w:bidi="ar"/>
        </w:rPr>
        <w:t xml:space="preserve"> 安徽省经工物资有限公司    </w:t>
      </w:r>
      <w:permEnd w:id="15"/>
      <w:r>
        <w:rPr>
          <w:rFonts w:hint="eastAsia" w:ascii="仿宋_GB2312" w:hAnsi="Calibri" w:eastAsia="仿宋_GB2312" w:cs="仿宋_GB2312"/>
          <w:kern w:val="2"/>
          <w:sz w:val="28"/>
          <w:szCs w:val="28"/>
          <w:lang w:val="en-US" w:eastAsia="zh-CN" w:bidi="ar"/>
        </w:rPr>
        <w:t>（采购人名称，以下简称甲方）与该项目的供货商</w:t>
      </w:r>
      <w:permStart w:id="16" w:edGrp="everyone"/>
      <w:r>
        <w:rPr>
          <w:rFonts w:hint="eastAsia" w:ascii="仿宋_GB2312" w:hAnsi="Calibri" w:eastAsia="仿宋_GB2312" w:cs="仿宋_GB2312"/>
          <w:kern w:val="2"/>
          <w:sz w:val="28"/>
          <w:szCs w:val="28"/>
          <w:u w:val="single"/>
          <w:lang w:val="en-US" w:eastAsia="zh-CN" w:bidi="ar"/>
        </w:rPr>
        <w:t xml:space="preserve">              </w:t>
      </w:r>
      <w:permEnd w:id="16"/>
      <w:r>
        <w:rPr>
          <w:rFonts w:hint="eastAsia" w:ascii="仿宋_GB2312" w:hAnsi="Calibri" w:eastAsia="仿宋_GB2312" w:cs="仿宋_GB2312"/>
          <w:kern w:val="2"/>
          <w:sz w:val="28"/>
          <w:szCs w:val="28"/>
          <w:lang w:val="en-US" w:eastAsia="zh-CN" w:bidi="ar"/>
        </w:rPr>
        <w:t>（供货商名称，以下简称乙方）特此签订此安全生产合同：</w:t>
      </w:r>
    </w:p>
    <w:p w14:paraId="1A42E5F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强化企业安全生产主体责任，加强道路运输安全管理，防止和减少安全事故，保障人民群众生命和财产安全，有效促进双方全面履行经营合同，维护双方的合法权益，依据《中华人民共和国民法典》、《中华人民共和国道路交通安全法》、《中华人民共和国安全生产法》、《中华人民共和国环境保护法》等相关安全法律、行政法规和规章，在平等、自愿、公平和诚实信用的原则下，双方就材料供应、运输安全事项协商一致，双方达成如下协议：</w:t>
      </w:r>
    </w:p>
    <w:p w14:paraId="3229A83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一、本协议履行期限与双方签订的材料供应合同履行期限相同，属材料供应合同的附件之一，具有与材料供应合同同等的法律效力。</w:t>
      </w:r>
    </w:p>
    <w:p w14:paraId="45FE76E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二、甲方负责提供材料堆放场地，乙方负责供应及运输。</w:t>
      </w:r>
    </w:p>
    <w:p w14:paraId="7321D99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三、在甲方运输区域，乙方运输车辆必须服从甲方的统一管理、调度和指挥，严格遵守交通规则，保证道路的畅通和运输安全，不得乱停、乱靠、乱装、乱卸，不得争道抢行，不得超速超载。</w:t>
      </w:r>
    </w:p>
    <w:p w14:paraId="3735E15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四、乙方对提供的运输车辆应当已取得国家道路运输的许可证，并确保车辆性能符合安全技术标准、防止带病上路运行，已依照国家法律政策规定购齐有关车辆保险。</w:t>
      </w:r>
    </w:p>
    <w:p w14:paraId="7774D8CF">
      <w:pPr>
        <w:pStyle w:val="17"/>
        <w:keepNext w:val="0"/>
        <w:keepLines w:val="0"/>
        <w:widowControl w:val="0"/>
        <w:suppressLineNumbers w:val="0"/>
        <w:spacing w:before="0" w:beforeAutospacing="1" w:after="12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45F96DB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五、乙方应当设立安全管理人员，配备有专业知识、技能的人员并明确责任，建立、健全安全规章制度，为其雇佣的从业人员提供安全法规知识、安全规章制度、安全操作规程和安全操作技能教育和培训。</w:t>
      </w:r>
    </w:p>
    <w:p w14:paraId="139133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六、乙方应确保货物在卸载过程中，装卸工有安全防护措施，发现不安全因素，及时处理。在甲方区域，禁止出现无证操作、无证驾驶现象。</w:t>
      </w:r>
    </w:p>
    <w:p w14:paraId="020EBF1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4C030E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八、乙方在履行合同过程中，必须确保货物运输及供应安全，如发生各类人身、财产事故，造成的一切损失均由乙方负责承担，甲方概不负责。</w:t>
      </w:r>
    </w:p>
    <w:p w14:paraId="26569E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九、争议的解决 </w:t>
      </w:r>
    </w:p>
    <w:p w14:paraId="33D19CF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本合同在履行中如发生争议，双方应及时协商解决。协商不成的，任何一方均有权将合同争议事项向甲方公司注册所在地人民法院提起诉讼，通过法定程序解决。</w:t>
      </w:r>
    </w:p>
    <w:p w14:paraId="3D35C48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十、本协议一式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 xml:space="preserve">份，甲方执 </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6F68804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7023A75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乙方（盖章）：</w:t>
      </w:r>
    </w:p>
    <w:p w14:paraId="4F47769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                      法定代表人</w:t>
      </w:r>
    </w:p>
    <w:p w14:paraId="6892E4D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或授权委托人（签字）：          或授权委托人（签字）：</w:t>
      </w:r>
    </w:p>
    <w:p w14:paraId="0C8D3EE4">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5F93FA3E">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permStart w:id="17" w:edGrp="everyone"/>
      <w:r>
        <w:rPr>
          <w:rFonts w:hint="eastAsia" w:ascii="仿宋_GB2312" w:hAnsi="Calibri" w:eastAsia="仿宋_GB2312" w:cs="仿宋_GB2312"/>
          <w:b/>
          <w:bCs w:val="0"/>
          <w:kern w:val="2"/>
          <w:sz w:val="28"/>
          <w:szCs w:val="28"/>
          <w:lang w:val="en-US" w:eastAsia="zh-CN" w:bidi="ar"/>
        </w:rPr>
        <w:t>附件3：</w:t>
      </w:r>
    </w:p>
    <w:p w14:paraId="3D56923E">
      <w:pPr>
        <w:pStyle w:val="17"/>
        <w:keepNext w:val="0"/>
        <w:keepLines w:val="0"/>
        <w:widowControl w:val="0"/>
        <w:suppressLineNumbers w:val="0"/>
        <w:autoSpaceDE w:val="0"/>
        <w:autoSpaceDN/>
        <w:spacing w:before="0" w:beforeAutospacing="1" w:after="0" w:afterAutospacing="1" w:line="560" w:lineRule="exact"/>
        <w:ind w:left="0" w:right="0" w:firstLine="883" w:firstLineChars="200"/>
        <w:jc w:val="center"/>
        <w:rPr>
          <w:rFonts w:hint="eastAsia" w:ascii="Times New Roman" w:hAnsi="Times New Roman" w:eastAsia="宋体" w:cs="Times New Roman"/>
          <w:kern w:val="0"/>
          <w:sz w:val="21"/>
          <w:szCs w:val="21"/>
        </w:rPr>
      </w:pPr>
      <w:r>
        <w:rPr>
          <w:rFonts w:hint="eastAsia" w:ascii="方正小标宋简体" w:hAnsi="方正小标宋简体" w:eastAsia="方正小标宋简体" w:cs="方正小标宋简体"/>
          <w:b/>
          <w:bCs w:val="0"/>
          <w:kern w:val="0"/>
          <w:sz w:val="44"/>
          <w:szCs w:val="44"/>
          <w:lang w:val="en-US" w:eastAsia="zh-CN" w:bidi="ar"/>
        </w:rPr>
        <w:t>报价清单</w:t>
      </w:r>
    </w:p>
    <w:p w14:paraId="4C92472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FCDE2B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4E4C5D1">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1BCC1D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EB252A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ermEnd w:id="17"/>
    <w:p w14:paraId="68AB96EE">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248D176D">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14:paraId="1AA622B9">
      <w:pPr>
        <w:spacing w:beforeLines="0" w:afterLines="0"/>
        <w:rPr>
          <w:rFonts w:hint="eastAsia"/>
          <w:sz w:val="21"/>
          <w:szCs w:val="24"/>
        </w:rPr>
      </w:pPr>
    </w:p>
    <w:p w14:paraId="0B899798">
      <w:pPr>
        <w:spacing w:beforeLines="0" w:afterLines="0"/>
        <w:rPr>
          <w:rFonts w:hint="eastAsia"/>
          <w:sz w:val="21"/>
          <w:szCs w:val="24"/>
        </w:rPr>
      </w:pPr>
    </w:p>
    <w:p w14:paraId="1DC9E2C6">
      <w:pPr>
        <w:spacing w:beforeLines="0" w:afterLines="0"/>
        <w:rPr>
          <w:rFonts w:hint="eastAsia"/>
          <w:sz w:val="21"/>
          <w:szCs w:val="24"/>
        </w:rPr>
      </w:pPr>
    </w:p>
    <w:p w14:paraId="4BA3B417">
      <w:pPr>
        <w:spacing w:beforeLines="0" w:afterLines="0"/>
        <w:rPr>
          <w:rFonts w:hint="eastAsia"/>
          <w:sz w:val="21"/>
          <w:szCs w:val="24"/>
        </w:rPr>
      </w:pPr>
    </w:p>
    <w:p w14:paraId="39F7C23E">
      <w:pPr>
        <w:spacing w:beforeLines="0" w:afterLines="0"/>
        <w:rPr>
          <w:rFonts w:hint="eastAsia"/>
          <w:sz w:val="21"/>
          <w:szCs w:val="24"/>
        </w:rPr>
      </w:pPr>
    </w:p>
    <w:p w14:paraId="4120E541">
      <w:pPr>
        <w:spacing w:beforeLines="0" w:afterLines="0"/>
        <w:rPr>
          <w:rFonts w:hint="eastAsia"/>
          <w:sz w:val="21"/>
          <w:szCs w:val="24"/>
        </w:rPr>
      </w:pPr>
    </w:p>
    <w:p w14:paraId="5E9AC55F">
      <w:pPr>
        <w:spacing w:beforeLines="0" w:afterLines="0"/>
        <w:rPr>
          <w:rFonts w:hint="eastAsia"/>
          <w:sz w:val="21"/>
          <w:szCs w:val="24"/>
        </w:rPr>
      </w:pPr>
    </w:p>
    <w:p w14:paraId="0F0DCF73">
      <w:pPr>
        <w:spacing w:beforeLines="0" w:afterLines="0"/>
        <w:rPr>
          <w:rFonts w:hint="eastAsia"/>
          <w:sz w:val="21"/>
          <w:szCs w:val="24"/>
        </w:rPr>
      </w:pPr>
    </w:p>
    <w:p w14:paraId="139C9392">
      <w:pPr>
        <w:spacing w:beforeLines="0" w:afterLines="0"/>
        <w:rPr>
          <w:rFonts w:hint="eastAsia"/>
          <w:sz w:val="21"/>
          <w:szCs w:val="24"/>
        </w:rPr>
      </w:pPr>
    </w:p>
    <w:p w14:paraId="3565849B">
      <w:pPr>
        <w:spacing w:beforeLines="0" w:afterLines="0"/>
        <w:rPr>
          <w:rFonts w:hint="eastAsia"/>
          <w:sz w:val="21"/>
          <w:szCs w:val="24"/>
        </w:rPr>
      </w:pPr>
    </w:p>
    <w:p w14:paraId="36B71B60">
      <w:pPr>
        <w:spacing w:beforeLines="0" w:afterLines="0"/>
        <w:rPr>
          <w:rFonts w:hint="eastAsia"/>
          <w:sz w:val="21"/>
          <w:szCs w:val="24"/>
        </w:rPr>
      </w:pPr>
    </w:p>
    <w:p w14:paraId="16B032CD">
      <w:pPr>
        <w:spacing w:beforeLines="0" w:afterLines="0"/>
        <w:rPr>
          <w:rFonts w:hint="eastAsia"/>
          <w:sz w:val="21"/>
          <w:szCs w:val="24"/>
        </w:rPr>
      </w:pPr>
    </w:p>
    <w:p w14:paraId="7AD60EBE">
      <w:pPr>
        <w:spacing w:beforeLines="0" w:afterLines="0"/>
        <w:rPr>
          <w:rFonts w:hint="eastAsia"/>
          <w:sz w:val="21"/>
          <w:szCs w:val="24"/>
        </w:rPr>
      </w:pPr>
    </w:p>
    <w:p w14:paraId="19D60159">
      <w:pPr>
        <w:spacing w:beforeLines="0" w:afterLines="0"/>
        <w:rPr>
          <w:rFonts w:hint="eastAsia"/>
          <w:sz w:val="21"/>
          <w:szCs w:val="24"/>
        </w:rPr>
      </w:pPr>
    </w:p>
    <w:p w14:paraId="2B447F63">
      <w:pPr>
        <w:spacing w:beforeLines="0" w:afterLines="0"/>
        <w:rPr>
          <w:rFonts w:hint="eastAsia"/>
          <w:sz w:val="21"/>
          <w:szCs w:val="24"/>
        </w:rPr>
        <w:sectPr>
          <w:pgSz w:w="11906" w:h="16838"/>
          <w:pgMar w:top="1440" w:right="1797" w:bottom="1440" w:left="1797" w:header="851" w:footer="992" w:gutter="0"/>
          <w:pgNumType w:fmt="decimal"/>
          <w:cols w:space="425" w:num="1"/>
          <w:docGrid w:type="lines" w:linePitch="312" w:charSpace="0"/>
        </w:sectPr>
      </w:pPr>
    </w:p>
    <w:p w14:paraId="7356CE2E">
      <w:pPr>
        <w:pStyle w:val="2"/>
        <w:numPr>
          <w:ilvl w:val="0"/>
          <w:numId w:val="0"/>
        </w:numPr>
        <w:spacing w:before="312" w:after="312"/>
        <w:rPr>
          <w:rFonts w:hint="eastAsia" w:ascii="Times New Roman" w:hAnsi="Times New Roman" w:eastAsia="宋体"/>
          <w:sz w:val="36"/>
          <w:szCs w:val="44"/>
          <w:highlight w:val="none"/>
        </w:rPr>
      </w:pPr>
      <w:bookmarkStart w:id="57" w:name="_Toc16221"/>
      <w:r>
        <w:rPr>
          <w:rFonts w:hint="eastAsia" w:ascii="Times New Roman" w:hAnsi="Times New Roman" w:eastAsia="宋体"/>
          <w:sz w:val="36"/>
          <w:szCs w:val="44"/>
          <w:highlight w:val="none"/>
          <w:lang w:val="en-US" w:eastAsia="zh-CN"/>
        </w:rPr>
        <w:t xml:space="preserve">第五章 </w:t>
      </w:r>
      <w:r>
        <w:rPr>
          <w:rFonts w:hint="eastAsia" w:ascii="Times New Roman" w:hAnsi="Times New Roman" w:eastAsia="宋体"/>
          <w:sz w:val="36"/>
          <w:szCs w:val="44"/>
          <w:highlight w:val="none"/>
        </w:rPr>
        <w:t>采购需求及清单</w:t>
      </w:r>
      <w:bookmarkEnd w:id="57"/>
    </w:p>
    <w:p w14:paraId="28C3F785">
      <w:pPr>
        <w:spacing w:beforeLines="0" w:afterLines="0"/>
        <w:jc w:val="left"/>
        <w:rPr>
          <w:rFonts w:hint="eastAsia" w:ascii="宋体" w:hAnsi="宋体"/>
          <w:color w:val="000000"/>
          <w:sz w:val="22"/>
          <w:szCs w:val="24"/>
        </w:rPr>
      </w:pPr>
    </w:p>
    <w:p w14:paraId="34CD70FE">
      <w:pPr>
        <w:spacing w:beforeLines="0" w:afterLines="0"/>
        <w:jc w:val="left"/>
        <w:rPr>
          <w:rFonts w:hint="eastAsia" w:ascii="宋体" w:hAnsi="宋体"/>
          <w:color w:val="000000"/>
          <w:sz w:val="22"/>
          <w:szCs w:val="24"/>
        </w:rPr>
      </w:pPr>
    </w:p>
    <w:p w14:paraId="7FAA6718">
      <w:pPr>
        <w:spacing w:beforeLines="0" w:afterLines="0"/>
        <w:jc w:val="left"/>
        <w:rPr>
          <w:rFonts w:hint="eastAsia" w:ascii="宋体" w:hAnsi="宋体"/>
          <w:color w:val="000000"/>
          <w:sz w:val="22"/>
          <w:szCs w:val="24"/>
        </w:rPr>
      </w:pPr>
    </w:p>
    <w:p w14:paraId="4B2FB7F0">
      <w:pPr>
        <w:spacing w:beforeLines="0" w:afterLines="0"/>
        <w:jc w:val="left"/>
        <w:rPr>
          <w:rFonts w:hint="eastAsia" w:ascii="宋体" w:hAnsi="宋体"/>
          <w:color w:val="000000"/>
          <w:sz w:val="22"/>
          <w:szCs w:val="24"/>
        </w:rPr>
      </w:pPr>
    </w:p>
    <w:p w14:paraId="66A09CD1">
      <w:pPr>
        <w:spacing w:beforeLines="0" w:afterLines="0"/>
        <w:jc w:val="left"/>
        <w:rPr>
          <w:rFonts w:hint="default" w:ascii="宋体" w:hAnsi="宋体" w:eastAsiaTheme="minorEastAsia"/>
          <w:color w:val="000000"/>
          <w:sz w:val="28"/>
          <w:szCs w:val="28"/>
          <w:highlight w:val="yellow"/>
          <w:lang w:val="en-US" w:eastAsia="zh-CN"/>
        </w:rPr>
        <w:sectPr>
          <w:pgSz w:w="11906" w:h="16838"/>
          <w:pgMar w:top="1440" w:right="1797" w:bottom="1440" w:left="1797" w:header="851" w:footer="992" w:gutter="0"/>
          <w:pgNumType w:fmt="decimal"/>
          <w:cols w:space="425" w:num="1"/>
          <w:docGrid w:type="lines" w:linePitch="312" w:charSpace="0"/>
        </w:sectPr>
      </w:pPr>
      <w:r>
        <w:rPr>
          <w:rFonts w:hint="eastAsia" w:ascii="宋体" w:hAnsi="宋体"/>
          <w:color w:val="000000"/>
          <w:sz w:val="28"/>
          <w:szCs w:val="28"/>
          <w:highlight w:val="yellow"/>
          <w:lang w:val="en-US" w:eastAsia="zh-CN"/>
        </w:rPr>
        <w:t>详见附件</w:t>
      </w:r>
    </w:p>
    <w:p w14:paraId="4AB462B6">
      <w:pPr>
        <w:pStyle w:val="2"/>
        <w:numPr>
          <w:ilvl w:val="0"/>
          <w:numId w:val="0"/>
        </w:numPr>
        <w:spacing w:before="312" w:after="312"/>
        <w:rPr>
          <w:rFonts w:hint="eastAsia" w:ascii="Times New Roman" w:hAnsi="Times New Roman" w:eastAsia="宋体"/>
          <w:sz w:val="36"/>
          <w:szCs w:val="44"/>
          <w:highlight w:val="none"/>
          <w:lang w:val="en-US" w:eastAsia="zh-CN"/>
        </w:rPr>
      </w:pPr>
      <w:bookmarkStart w:id="58" w:name="_Toc3835"/>
      <w:r>
        <w:rPr>
          <w:rFonts w:hint="eastAsia" w:ascii="Times New Roman" w:hAnsi="Times New Roman" w:eastAsia="宋体"/>
          <w:sz w:val="36"/>
          <w:szCs w:val="44"/>
          <w:highlight w:val="none"/>
          <w:lang w:val="en-US" w:eastAsia="zh-CN"/>
        </w:rPr>
        <w:t>第六章 响应文件格式</w:t>
      </w:r>
      <w:bookmarkEnd w:id="58"/>
    </w:p>
    <w:p w14:paraId="0B179B62">
      <w:pPr>
        <w:pStyle w:val="2"/>
        <w:numPr>
          <w:ilvl w:val="0"/>
          <w:numId w:val="0"/>
        </w:numPr>
        <w:spacing w:before="312" w:after="312"/>
        <w:rPr>
          <w:rFonts w:hint="eastAsia" w:ascii="Times New Roman" w:hAnsi="Times New Roman" w:eastAsia="宋体"/>
          <w:sz w:val="36"/>
          <w:szCs w:val="44"/>
          <w:highlight w:val="none"/>
          <w:lang w:val="en-US" w:eastAsia="zh-CN"/>
        </w:rPr>
      </w:pPr>
    </w:p>
    <w:p w14:paraId="215813E8">
      <w:pPr>
        <w:pStyle w:val="2"/>
        <w:numPr>
          <w:ilvl w:val="0"/>
          <w:numId w:val="0"/>
        </w:numPr>
        <w:spacing w:before="312" w:after="312"/>
        <w:rPr>
          <w:rFonts w:hint="eastAsia" w:ascii="Times New Roman" w:hAnsi="Times New Roman" w:eastAsia="宋体"/>
          <w:sz w:val="36"/>
          <w:szCs w:val="44"/>
          <w:highlight w:val="none"/>
          <w:lang w:val="en-US" w:eastAsia="zh-CN"/>
        </w:rPr>
      </w:pPr>
    </w:p>
    <w:p w14:paraId="5933BABE">
      <w:pPr>
        <w:pStyle w:val="2"/>
        <w:numPr>
          <w:ilvl w:val="0"/>
          <w:numId w:val="0"/>
        </w:numPr>
        <w:spacing w:before="312" w:after="312"/>
        <w:rPr>
          <w:rFonts w:hint="eastAsia" w:ascii="Times New Roman" w:hAnsi="Times New Roman" w:eastAsia="宋体"/>
          <w:sz w:val="36"/>
          <w:szCs w:val="44"/>
          <w:highlight w:val="none"/>
          <w:lang w:val="en-US" w:eastAsia="zh-CN"/>
        </w:rPr>
      </w:pPr>
    </w:p>
    <w:p w14:paraId="5E0208F6">
      <w:pPr>
        <w:pStyle w:val="2"/>
        <w:numPr>
          <w:ilvl w:val="0"/>
          <w:numId w:val="0"/>
        </w:numPr>
        <w:spacing w:before="312" w:after="312"/>
        <w:rPr>
          <w:rFonts w:hint="eastAsia" w:ascii="Times New Roman" w:hAnsi="Times New Roman" w:eastAsia="宋体"/>
          <w:sz w:val="36"/>
          <w:szCs w:val="44"/>
          <w:highlight w:val="none"/>
          <w:lang w:val="en-US" w:eastAsia="zh-CN"/>
        </w:rPr>
      </w:pPr>
    </w:p>
    <w:p w14:paraId="115599B6">
      <w:pPr>
        <w:pStyle w:val="2"/>
        <w:numPr>
          <w:ilvl w:val="0"/>
          <w:numId w:val="0"/>
        </w:numPr>
        <w:spacing w:before="312" w:after="312"/>
        <w:rPr>
          <w:rFonts w:hint="eastAsia" w:ascii="Times New Roman" w:hAnsi="Times New Roman" w:eastAsia="宋体"/>
          <w:sz w:val="36"/>
          <w:szCs w:val="44"/>
          <w:highlight w:val="none"/>
          <w:lang w:val="en-US" w:eastAsia="zh-CN"/>
        </w:rPr>
      </w:pPr>
    </w:p>
    <w:p w14:paraId="34F3E3B9">
      <w:pPr>
        <w:pStyle w:val="2"/>
        <w:numPr>
          <w:ilvl w:val="0"/>
          <w:numId w:val="0"/>
        </w:numPr>
        <w:spacing w:before="312" w:after="312"/>
        <w:rPr>
          <w:rFonts w:hint="eastAsia" w:ascii="Times New Roman" w:hAnsi="Times New Roman" w:eastAsia="宋体"/>
          <w:sz w:val="36"/>
          <w:szCs w:val="44"/>
          <w:highlight w:val="none"/>
          <w:lang w:val="en-US" w:eastAsia="zh-CN"/>
        </w:rPr>
      </w:pPr>
    </w:p>
    <w:p w14:paraId="1C59FE57">
      <w:pPr>
        <w:pStyle w:val="2"/>
        <w:numPr>
          <w:ilvl w:val="0"/>
          <w:numId w:val="0"/>
        </w:numPr>
        <w:spacing w:before="312" w:after="312"/>
        <w:rPr>
          <w:rFonts w:hint="eastAsia" w:ascii="Times New Roman" w:hAnsi="Times New Roman" w:eastAsia="宋体"/>
          <w:sz w:val="36"/>
          <w:szCs w:val="44"/>
          <w:highlight w:val="none"/>
          <w:lang w:val="en-US" w:eastAsia="zh-CN"/>
        </w:rPr>
      </w:pPr>
    </w:p>
    <w:p w14:paraId="32EABA46">
      <w:pPr>
        <w:pStyle w:val="2"/>
        <w:numPr>
          <w:ilvl w:val="0"/>
          <w:numId w:val="0"/>
        </w:numPr>
        <w:spacing w:before="312" w:after="312"/>
        <w:rPr>
          <w:rFonts w:hint="eastAsia" w:ascii="Times New Roman" w:hAnsi="Times New Roman" w:eastAsia="宋体"/>
          <w:sz w:val="36"/>
          <w:szCs w:val="44"/>
          <w:highlight w:val="none"/>
          <w:lang w:val="en-US" w:eastAsia="zh-CN"/>
        </w:rPr>
      </w:pPr>
    </w:p>
    <w:p w14:paraId="7E852E0D">
      <w:pPr>
        <w:pStyle w:val="2"/>
        <w:numPr>
          <w:ilvl w:val="0"/>
          <w:numId w:val="0"/>
        </w:numPr>
        <w:spacing w:before="312" w:after="312"/>
        <w:rPr>
          <w:rFonts w:hint="eastAsia" w:ascii="Times New Roman" w:hAnsi="Times New Roman" w:eastAsia="宋体"/>
          <w:sz w:val="36"/>
          <w:szCs w:val="44"/>
          <w:highlight w:val="none"/>
          <w:lang w:val="en-US" w:eastAsia="zh-CN"/>
        </w:rPr>
      </w:pPr>
    </w:p>
    <w:p w14:paraId="1FBBBE8F">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64719B68">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49FB5957">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0E8B96D">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E33D00C">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r>
        <w:rPr>
          <w:rFonts w:hint="eastAsia" w:ascii="方正小标宋简体" w:hAnsi="方正小标宋简体" w:eastAsia="方正小标宋简体" w:cs="方正小标宋简体"/>
          <w:kern w:val="2"/>
          <w:sz w:val="44"/>
          <w:szCs w:val="44"/>
          <w:u w:val="single"/>
          <w:lang w:val="en-US" w:eastAsia="zh-CN" w:bidi="ar"/>
        </w:rPr>
        <w:t>安徽省经工物资有限公司惠达洁具年度</w:t>
      </w:r>
    </w:p>
    <w:p w14:paraId="6EF0519F">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简体" w:cs="Times New Roman"/>
          <w:kern w:val="2"/>
          <w:sz w:val="50"/>
          <w:szCs w:val="50"/>
          <w:u w:val="single"/>
        </w:rPr>
      </w:pPr>
      <w:r>
        <w:rPr>
          <w:rFonts w:hint="eastAsia" w:ascii="方正小标宋简体" w:hAnsi="方正小标宋简体" w:eastAsia="方正小标宋简体" w:cs="方正小标宋简体"/>
          <w:kern w:val="2"/>
          <w:sz w:val="44"/>
          <w:szCs w:val="44"/>
          <w:u w:val="single"/>
          <w:lang w:val="en-US" w:eastAsia="zh-CN" w:bidi="ar"/>
        </w:rPr>
        <w:t>采购项目</w:t>
      </w:r>
    </w:p>
    <w:p w14:paraId="2EC4BAC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41CA6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91F6076">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59" w:name="_Toc15312"/>
      <w:bookmarkStart w:id="60" w:name="_Toc30063"/>
      <w:bookmarkStart w:id="61" w:name="_Toc9500"/>
      <w:bookmarkStart w:id="62" w:name="_Toc22156"/>
      <w:bookmarkStart w:id="63" w:name="_Toc16420"/>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59"/>
      <w:bookmarkEnd w:id="60"/>
      <w:bookmarkEnd w:id="61"/>
      <w:bookmarkEnd w:id="62"/>
      <w:bookmarkEnd w:id="63"/>
    </w:p>
    <w:p w14:paraId="7F266D57">
      <w:pPr>
        <w:pStyle w:val="17"/>
        <w:keepNext w:val="0"/>
        <w:keepLines w:val="0"/>
        <w:widowControl w:val="0"/>
        <w:suppressLineNumbers w:val="0"/>
        <w:spacing w:before="0" w:beforeAutospacing="1" w:after="120" w:afterAutospacing="0"/>
        <w:ind w:left="420" w:leftChars="200" w:right="0" w:firstLine="1000" w:firstLineChars="200"/>
        <w:jc w:val="left"/>
        <w:rPr>
          <w:rFonts w:hint="eastAsia" w:ascii="黑体" w:hAnsi="宋体" w:eastAsia="黑体" w:cs="黑体"/>
          <w:kern w:val="2"/>
          <w:sz w:val="28"/>
          <w:szCs w:val="28"/>
          <w:lang w:val="en-US" w:eastAsia="zh-CN" w:bidi="ar"/>
        </w:rPr>
      </w:pPr>
      <w:r>
        <w:rPr>
          <w:rFonts w:hint="eastAsia" w:ascii="Times New Roman" w:hAnsi="Times New Roman" w:eastAsia="黑体" w:cs="Times New Roman"/>
          <w:kern w:val="2"/>
          <w:sz w:val="50"/>
          <w:szCs w:val="50"/>
          <w:lang w:val="en-US" w:eastAsia="zh-CN" w:bidi="ar"/>
        </w:rPr>
        <w:t xml:space="preserve">       </w:t>
      </w:r>
    </w:p>
    <w:p w14:paraId="5F8A15A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1CB24F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00E6F2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E734C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E7772AE">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E54EA9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02A4A9C">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26FC5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8B7EA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B84924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3765A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96D76D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15C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全称、盖单位公章</w:t>
      </w:r>
      <w:r>
        <w:rPr>
          <w:rFonts w:hint="default" w:ascii="Times New Roman" w:hAnsi="Times New Roman" w:eastAsia="黑体" w:cs="Times New Roman"/>
          <w:kern w:val="2"/>
          <w:sz w:val="28"/>
          <w:szCs w:val="28"/>
          <w:u w:val="single"/>
          <w:lang w:val="en-US" w:eastAsia="zh-CN" w:bidi="ar"/>
        </w:rPr>
        <w:t xml:space="preserve">) </w:t>
      </w:r>
    </w:p>
    <w:p w14:paraId="50BE5E9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43D5C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u w:val="none"/>
        </w:rPr>
      </w:pPr>
      <w:r>
        <w:rPr>
          <w:rFonts w:hint="eastAsia" w:ascii="宋体" w:hAnsi="宋体" w:eastAsia="宋体" w:cs="宋体"/>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年</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月</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日</w:t>
      </w:r>
    </w:p>
    <w:p w14:paraId="0D591769">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rPr>
      </w:pPr>
      <w:r>
        <w:rPr>
          <w:rFonts w:hint="default" w:ascii="Times New Roman" w:hAnsi="Times New Roman" w:eastAsia="黑体" w:cs="Times New Roman"/>
          <w:kern w:val="2"/>
          <w:sz w:val="20"/>
          <w:szCs w:val="20"/>
          <w:lang w:val="en-US" w:eastAsia="zh-CN" w:bidi="ar"/>
        </w:rPr>
        <w:br w:type="page"/>
      </w:r>
    </w:p>
    <w:p w14:paraId="41E07D4D">
      <w:pPr>
        <w:spacing w:beforeLines="0" w:afterLines="0" w:line="440" w:lineRule="exact"/>
        <w:jc w:val="center"/>
        <w:rPr>
          <w:rFonts w:hint="default" w:ascii="Times New Roman" w:hAnsi="Times New Roman" w:eastAsia="黑体"/>
          <w:color w:val="auto"/>
          <w:sz w:val="28"/>
          <w:szCs w:val="28"/>
        </w:rPr>
      </w:pPr>
      <w:bookmarkStart w:id="64" w:name="_Toc31224_WPSOffice_Level2"/>
      <w:bookmarkStart w:id="65" w:name="_Toc9551_WPSOffice_Level1"/>
      <w:bookmarkStart w:id="66" w:name="_Toc21974_WPSOffice_Level2"/>
      <w:bookmarkStart w:id="67" w:name="_Toc22351_WPSOffice_Level2"/>
      <w:bookmarkStart w:id="68" w:name="_Toc29095_WPSOffice_Level2"/>
      <w:bookmarkStart w:id="69" w:name="_Toc96_WPSOffice_Level1"/>
      <w:bookmarkStart w:id="70" w:name="_Toc882_WPSOffice_Level2"/>
      <w:bookmarkStart w:id="71" w:name="_Toc24832_WPSOffice_Level2"/>
      <w:bookmarkStart w:id="72" w:name="_Toc7952_WPSOffice_Level2"/>
      <w:bookmarkStart w:id="73" w:name="_Toc31127_WPSOffice_Level1"/>
      <w:bookmarkStart w:id="74" w:name="_Toc18668_WPSOffice_Level1"/>
      <w:bookmarkStart w:id="75" w:name="_Toc8695_WPSOffice_Level1"/>
      <w:bookmarkStart w:id="76" w:name="_Toc28026"/>
      <w:bookmarkStart w:id="77" w:name="_Toc7337"/>
      <w:bookmarkStart w:id="78" w:name="_Toc32350_WPSOffice_Level1"/>
      <w:bookmarkStart w:id="79" w:name="_Toc15033"/>
      <w:bookmarkStart w:id="80" w:name="_Toc13190_WPSOffice_Level1"/>
      <w:bookmarkStart w:id="81" w:name="_Toc12530_WPSOffice_Level1"/>
      <w:bookmarkStart w:id="82" w:name="_Toc14563_WPSOffice_Level1"/>
      <w:r>
        <w:rPr>
          <w:rFonts w:hint="eastAsia" w:ascii="Times New Roman" w:hAnsi="Times New Roman" w:eastAsia="黑体"/>
          <w:color w:val="auto"/>
          <w:sz w:val="28"/>
          <w:szCs w:val="28"/>
        </w:rPr>
        <w:t>目     录</w:t>
      </w:r>
      <w:bookmarkEnd w:id="64"/>
      <w:bookmarkEnd w:id="65"/>
      <w:bookmarkEnd w:id="66"/>
      <w:bookmarkEnd w:id="67"/>
      <w:bookmarkEnd w:id="68"/>
      <w:bookmarkEnd w:id="69"/>
      <w:bookmarkEnd w:id="70"/>
      <w:bookmarkEnd w:id="71"/>
      <w:bookmarkEnd w:id="72"/>
    </w:p>
    <w:p w14:paraId="1CBFFCEA">
      <w:pPr>
        <w:spacing w:beforeLines="0" w:afterLines="0" w:line="440" w:lineRule="exact"/>
        <w:rPr>
          <w:rFonts w:hint="default" w:ascii="Times New Roman" w:hAnsi="Times New Roman" w:eastAsia="黑体"/>
          <w:color w:val="auto"/>
          <w:sz w:val="20"/>
          <w:szCs w:val="20"/>
        </w:rPr>
      </w:pPr>
    </w:p>
    <w:p w14:paraId="02944B2C">
      <w:pPr>
        <w:spacing w:beforeLines="0" w:afterLines="0" w:line="440" w:lineRule="exact"/>
        <w:ind w:left="1619" w:leftChars="771"/>
        <w:rPr>
          <w:rFonts w:hint="default" w:ascii="Times New Roman" w:hAnsi="Times New Roman" w:eastAsia="黑体"/>
          <w:color w:val="auto"/>
          <w:sz w:val="24"/>
          <w:szCs w:val="24"/>
        </w:rPr>
      </w:pPr>
      <w:bookmarkStart w:id="83" w:name="_Toc26987_WPSOffice_Level1"/>
      <w:bookmarkStart w:id="84" w:name="_Toc23368_WPSOffice_Level1"/>
      <w:bookmarkStart w:id="85" w:name="_Toc6353_WPSOffice_Level1"/>
      <w:bookmarkStart w:id="86" w:name="_Toc11424_WPSOffice_Level1"/>
      <w:bookmarkStart w:id="87" w:name="_Toc30529_WPSOffice_Level1"/>
      <w:bookmarkStart w:id="88" w:name="_Toc12670_WPSOffice_Level1"/>
      <w:bookmarkStart w:id="89" w:name="_Toc9021_WPSOffice_Level1"/>
      <w:r>
        <w:rPr>
          <w:rFonts w:hint="eastAsia" w:ascii="Times New Roman" w:hAnsi="Times New Roman" w:eastAsia="黑体"/>
          <w:color w:val="auto"/>
          <w:sz w:val="24"/>
          <w:szCs w:val="24"/>
        </w:rPr>
        <w:t>一、报价函</w:t>
      </w:r>
      <w:bookmarkEnd w:id="83"/>
      <w:bookmarkEnd w:id="84"/>
      <w:bookmarkEnd w:id="85"/>
      <w:bookmarkEnd w:id="86"/>
      <w:bookmarkEnd w:id="87"/>
      <w:bookmarkEnd w:id="88"/>
      <w:bookmarkEnd w:id="89"/>
    </w:p>
    <w:p w14:paraId="60A3B342">
      <w:pPr>
        <w:spacing w:beforeLines="0" w:afterLines="0" w:line="440" w:lineRule="exact"/>
        <w:ind w:left="1619" w:leftChars="771"/>
        <w:rPr>
          <w:rFonts w:hint="default" w:ascii="Times New Roman" w:hAnsi="Times New Roman" w:eastAsia="黑体"/>
          <w:color w:val="auto"/>
          <w:sz w:val="24"/>
          <w:szCs w:val="24"/>
        </w:rPr>
      </w:pPr>
      <w:bookmarkStart w:id="90" w:name="_Toc26052_WPSOffice_Level1"/>
      <w:bookmarkStart w:id="91" w:name="_Toc32729_WPSOffice_Level1"/>
      <w:bookmarkStart w:id="92" w:name="_Toc14150_WPSOffice_Level1"/>
      <w:bookmarkStart w:id="93" w:name="_Toc3742_WPSOffice_Level1"/>
      <w:bookmarkStart w:id="94" w:name="_Toc21229_WPSOffice_Level1"/>
      <w:bookmarkStart w:id="95" w:name="_Toc5317_WPSOffice_Level1"/>
      <w:bookmarkStart w:id="96" w:name="_Toc31927_WPSOffice_Level1"/>
      <w:r>
        <w:rPr>
          <w:rFonts w:hint="eastAsia" w:ascii="Times New Roman" w:hAnsi="Times New Roman" w:eastAsia="黑体"/>
          <w:color w:val="auto"/>
          <w:sz w:val="24"/>
          <w:szCs w:val="24"/>
        </w:rPr>
        <w:t>二、</w:t>
      </w:r>
      <w:bookmarkEnd w:id="90"/>
      <w:bookmarkEnd w:id="91"/>
      <w:bookmarkEnd w:id="92"/>
      <w:bookmarkEnd w:id="93"/>
      <w:bookmarkEnd w:id="94"/>
      <w:bookmarkEnd w:id="95"/>
      <w:bookmarkEnd w:id="96"/>
      <w:r>
        <w:rPr>
          <w:rFonts w:hint="eastAsia" w:ascii="Times New Roman" w:hAnsi="Times New Roman" w:eastAsia="黑体"/>
          <w:color w:val="auto"/>
          <w:sz w:val="24"/>
          <w:szCs w:val="24"/>
        </w:rPr>
        <w:t>法定代表人身份证明及授权委托书</w:t>
      </w:r>
    </w:p>
    <w:p w14:paraId="0316D579">
      <w:pPr>
        <w:spacing w:beforeLines="0" w:afterLines="0" w:line="440" w:lineRule="exact"/>
        <w:ind w:left="1619" w:leftChars="771"/>
        <w:rPr>
          <w:rFonts w:hint="default" w:ascii="Times New Roman" w:hAnsi="Times New Roman" w:eastAsia="黑体"/>
          <w:color w:val="auto"/>
          <w:sz w:val="24"/>
          <w:szCs w:val="24"/>
        </w:rPr>
      </w:pPr>
      <w:bookmarkStart w:id="97" w:name="_Toc29085_WPSOffice_Level1"/>
      <w:bookmarkStart w:id="98" w:name="_Toc11822_WPSOffice_Level1"/>
      <w:bookmarkStart w:id="99" w:name="_Toc25965_WPSOffice_Level1"/>
      <w:bookmarkStart w:id="100" w:name="_Toc25652_WPSOffice_Level1"/>
      <w:bookmarkStart w:id="101" w:name="_Toc4728_WPSOffice_Level1"/>
      <w:bookmarkStart w:id="102" w:name="_Toc20535_WPSOffice_Level1"/>
      <w:bookmarkStart w:id="103" w:name="_Toc23356_WPSOffice_Level1"/>
      <w:r>
        <w:rPr>
          <w:rFonts w:hint="eastAsia" w:ascii="Times New Roman" w:hAnsi="Times New Roman" w:eastAsia="黑体"/>
          <w:color w:val="auto"/>
          <w:sz w:val="24"/>
          <w:szCs w:val="24"/>
        </w:rPr>
        <w:t>三、已标价的报</w:t>
      </w:r>
      <w:bookmarkEnd w:id="97"/>
      <w:r>
        <w:rPr>
          <w:rFonts w:hint="eastAsia" w:ascii="Times New Roman" w:hAnsi="Times New Roman" w:eastAsia="黑体"/>
          <w:color w:val="auto"/>
          <w:sz w:val="24"/>
          <w:szCs w:val="24"/>
        </w:rPr>
        <w:t>价清单</w:t>
      </w:r>
      <w:bookmarkEnd w:id="98"/>
      <w:bookmarkEnd w:id="99"/>
      <w:bookmarkEnd w:id="100"/>
      <w:bookmarkEnd w:id="101"/>
      <w:bookmarkEnd w:id="102"/>
      <w:bookmarkEnd w:id="103"/>
    </w:p>
    <w:p w14:paraId="2CA49803">
      <w:pPr>
        <w:spacing w:beforeLines="0" w:afterLines="0" w:line="440" w:lineRule="exact"/>
        <w:ind w:left="1619" w:leftChars="771"/>
        <w:rPr>
          <w:rFonts w:hint="default" w:ascii="Times New Roman" w:hAnsi="Times New Roman" w:eastAsia="黑体"/>
          <w:color w:val="auto"/>
          <w:sz w:val="24"/>
          <w:szCs w:val="24"/>
        </w:rPr>
      </w:pPr>
      <w:bookmarkStart w:id="104" w:name="_Toc7453_WPSOffice_Level1"/>
      <w:bookmarkStart w:id="105" w:name="_Toc18964_WPSOffice_Level1"/>
      <w:bookmarkStart w:id="106" w:name="_Toc7286_WPSOffice_Level1"/>
      <w:bookmarkStart w:id="107" w:name="_Toc10608_WPSOffice_Level1"/>
      <w:bookmarkStart w:id="108" w:name="_Toc27790_WPSOffice_Level1"/>
      <w:bookmarkStart w:id="109" w:name="_Toc23744_WPSOffice_Level1"/>
      <w:bookmarkStart w:id="110" w:name="_Toc24870_WPSOffice_Level1"/>
      <w:r>
        <w:rPr>
          <w:rFonts w:hint="eastAsia" w:ascii="Times New Roman" w:hAnsi="Times New Roman" w:eastAsia="黑体"/>
          <w:color w:val="auto"/>
          <w:sz w:val="24"/>
          <w:szCs w:val="24"/>
        </w:rPr>
        <w:t>四、</w:t>
      </w:r>
      <w:bookmarkEnd w:id="104"/>
      <w:bookmarkEnd w:id="105"/>
      <w:bookmarkEnd w:id="106"/>
      <w:bookmarkEnd w:id="107"/>
      <w:r>
        <w:rPr>
          <w:rFonts w:hint="eastAsia" w:ascii="Times New Roman" w:hAnsi="Times New Roman" w:eastAsia="黑体"/>
          <w:color w:val="auto"/>
          <w:sz w:val="24"/>
          <w:szCs w:val="24"/>
        </w:rPr>
        <w:t>供应商基本情况</w:t>
      </w:r>
      <w:bookmarkEnd w:id="108"/>
      <w:bookmarkEnd w:id="109"/>
      <w:bookmarkEnd w:id="110"/>
    </w:p>
    <w:p w14:paraId="30346BE6">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五、近年类似业绩情况</w:t>
      </w:r>
    </w:p>
    <w:p w14:paraId="12202D70">
      <w:pPr>
        <w:spacing w:beforeLines="0" w:afterLines="0" w:line="440" w:lineRule="exact"/>
        <w:ind w:left="1619" w:leftChars="771"/>
        <w:rPr>
          <w:rFonts w:hint="default" w:ascii="Times New Roman" w:hAnsi="Times New Roman" w:eastAsia="黑体"/>
          <w:color w:val="auto"/>
          <w:sz w:val="24"/>
          <w:szCs w:val="24"/>
        </w:rPr>
      </w:pPr>
      <w:bookmarkStart w:id="111" w:name="_Toc8423_WPSOffice_Level1"/>
      <w:bookmarkStart w:id="112" w:name="_Toc21092_WPSOffice_Level1"/>
      <w:bookmarkStart w:id="113" w:name="_Toc16988_WPSOffice_Level1"/>
      <w:bookmarkStart w:id="114" w:name="_Toc5885_WPSOffice_Level1"/>
      <w:r>
        <w:rPr>
          <w:rFonts w:hint="eastAsia" w:ascii="Times New Roman" w:hAnsi="Times New Roman" w:eastAsia="黑体"/>
          <w:color w:val="auto"/>
          <w:sz w:val="24"/>
          <w:szCs w:val="24"/>
        </w:rPr>
        <w:t>六、</w:t>
      </w:r>
      <w:bookmarkEnd w:id="111"/>
      <w:bookmarkEnd w:id="112"/>
      <w:bookmarkEnd w:id="113"/>
      <w:bookmarkEnd w:id="114"/>
      <w:r>
        <w:rPr>
          <w:rFonts w:hint="eastAsia" w:ascii="Times New Roman" w:hAnsi="Times New Roman" w:eastAsia="黑体"/>
          <w:color w:val="auto"/>
          <w:sz w:val="24"/>
          <w:szCs w:val="24"/>
        </w:rPr>
        <w:t>信誉情况</w:t>
      </w:r>
    </w:p>
    <w:p w14:paraId="741F8A3F">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七、其它材料</w:t>
      </w:r>
    </w:p>
    <w:p w14:paraId="389FF729">
      <w:pPr>
        <w:spacing w:beforeLines="0" w:afterLines="0" w:line="440" w:lineRule="exact"/>
        <w:ind w:left="1619" w:leftChars="771"/>
        <w:rPr>
          <w:rFonts w:hint="default" w:ascii="Times New Roman" w:hAnsi="Times New Roman" w:eastAsia="黑体"/>
          <w:color w:val="auto"/>
          <w:sz w:val="24"/>
          <w:szCs w:val="24"/>
        </w:rPr>
      </w:pPr>
    </w:p>
    <w:p w14:paraId="2B39C1D2">
      <w:pPr>
        <w:spacing w:beforeLines="0" w:afterLines="0" w:line="440" w:lineRule="exact"/>
        <w:ind w:left="1619" w:leftChars="771"/>
        <w:rPr>
          <w:rFonts w:hint="default" w:ascii="Times New Roman" w:hAnsi="Times New Roman" w:eastAsia="黑体"/>
          <w:color w:val="auto"/>
          <w:sz w:val="24"/>
          <w:szCs w:val="24"/>
        </w:rPr>
      </w:pPr>
    </w:p>
    <w:p w14:paraId="1CEC6C31">
      <w:pPr>
        <w:spacing w:beforeLines="0" w:afterLines="0" w:line="440" w:lineRule="exact"/>
        <w:rPr>
          <w:rFonts w:hint="default" w:ascii="Times New Roman" w:hAnsi="Times New Roman" w:eastAsia="黑体"/>
          <w:color w:val="auto"/>
          <w:sz w:val="28"/>
          <w:szCs w:val="28"/>
        </w:rPr>
      </w:pPr>
      <w:r>
        <w:rPr>
          <w:rFonts w:hint="default" w:ascii="Times New Roman" w:hAnsi="Times New Roman" w:eastAsia="黑体"/>
          <w:color w:val="auto"/>
          <w:sz w:val="20"/>
          <w:szCs w:val="20"/>
        </w:rPr>
        <w:br w:type="page"/>
      </w:r>
      <w:bookmarkStart w:id="115" w:name="_Toc27336_WPSOffice_Level1"/>
      <w:bookmarkStart w:id="116" w:name="_Toc29334_WPSOffice_Level1"/>
    </w:p>
    <w:p w14:paraId="764F8061">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一、报价函</w:t>
      </w:r>
      <w:bookmarkEnd w:id="115"/>
      <w:bookmarkEnd w:id="116"/>
    </w:p>
    <w:p w14:paraId="102E347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0194473E">
      <w:pPr>
        <w:spacing w:beforeLines="0" w:afterLines="0" w:line="440" w:lineRule="exact"/>
        <w:rPr>
          <w:rFonts w:hint="default" w:ascii="Times New Roman" w:hAnsi="Times New Roman" w:eastAsia="Times New Roman"/>
          <w:color w:val="auto"/>
          <w:sz w:val="24"/>
          <w:szCs w:val="24"/>
        </w:rPr>
      </w:pPr>
      <w:r>
        <w:rPr>
          <w:rFonts w:hint="eastAsia" w:ascii="Times New Roman" w:hAnsi="Times New Roman"/>
          <w:color w:val="auto"/>
          <w:sz w:val="24"/>
          <w:szCs w:val="24"/>
          <w:u w:val="single"/>
        </w:rPr>
        <w:t>安徽省经工物资有限公司</w:t>
      </w:r>
      <w:r>
        <w:rPr>
          <w:rFonts w:hint="eastAsia" w:ascii="Times New Roman" w:hAnsi="Times New Roman"/>
          <w:color w:val="auto"/>
          <w:sz w:val="24"/>
          <w:szCs w:val="24"/>
        </w:rPr>
        <w:t>：</w:t>
      </w:r>
    </w:p>
    <w:p w14:paraId="576D1A17">
      <w:pPr>
        <w:pStyle w:val="8"/>
        <w:spacing w:beforeLines="0" w:afterLines="0"/>
        <w:rPr>
          <w:rFonts w:hint="default"/>
          <w:color w:val="auto"/>
          <w:sz w:val="21"/>
          <w:szCs w:val="24"/>
        </w:rPr>
      </w:pPr>
    </w:p>
    <w:p w14:paraId="6798742E">
      <w:pPr>
        <w:widowControl/>
        <w:spacing w:beforeLines="0" w:afterLines="0"/>
        <w:ind w:firstLine="480" w:firstLineChars="200"/>
        <w:jc w:val="left"/>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．我方已仔细研究了</w:t>
      </w:r>
      <w:r>
        <w:rPr>
          <w:rFonts w:hint="eastAsia" w:ascii="Times New Roman" w:hAnsi="Times New Roman"/>
          <w:b w:val="0"/>
          <w:bCs w:val="0"/>
          <w:color w:val="000000" w:themeColor="text1"/>
          <w:sz w:val="24"/>
          <w:szCs w:val="24"/>
          <w:u w:val="single"/>
          <w14:textFill>
            <w14:solidFill>
              <w14:schemeClr w14:val="tx1"/>
            </w14:solidFill>
          </w14:textFill>
        </w:rPr>
        <w:t>安徽省经工物资有限公司</w:t>
      </w:r>
      <w:r>
        <w:rPr>
          <w:rFonts w:hint="eastAsia" w:ascii="Times New Roman" w:hAnsi="Times New Roman"/>
          <w:b w:val="0"/>
          <w:bCs w:val="0"/>
          <w:color w:val="000000" w:themeColor="text1"/>
          <w:sz w:val="24"/>
          <w:szCs w:val="24"/>
          <w:u w:val="single"/>
          <w:lang w:eastAsia="zh-CN"/>
          <w14:textFill>
            <w14:solidFill>
              <w14:schemeClr w14:val="tx1"/>
            </w14:solidFill>
          </w14:textFill>
        </w:rPr>
        <w:t>惠达洁具</w:t>
      </w:r>
      <w:r>
        <w:rPr>
          <w:rFonts w:hint="eastAsia" w:ascii="Times New Roman" w:hAnsi="Times New Roman"/>
          <w:b w:val="0"/>
          <w:bCs w:val="0"/>
          <w:color w:val="000000" w:themeColor="text1"/>
          <w:sz w:val="24"/>
          <w:szCs w:val="24"/>
          <w:u w:val="single"/>
          <w14:textFill>
            <w14:solidFill>
              <w14:schemeClr w14:val="tx1"/>
            </w14:solidFill>
          </w14:textFill>
        </w:rPr>
        <w:t>年度采购项目</w:t>
      </w:r>
      <w:r>
        <w:rPr>
          <w:rFonts w:hint="default" w:ascii="Times New Roman" w:hAnsi="Times New Roman" w:eastAsia="Times New Roman"/>
          <w:color w:val="auto"/>
          <w:sz w:val="24"/>
          <w:szCs w:val="24"/>
        </w:rPr>
        <w:t>(</w:t>
      </w:r>
      <w:r>
        <w:rPr>
          <w:rFonts w:hint="eastAsia" w:ascii="Times New Roman" w:hAnsi="Times New Roman"/>
          <w:color w:val="auto"/>
          <w:sz w:val="24"/>
          <w:szCs w:val="24"/>
        </w:rPr>
        <w:t>项目名称)采购文件的全部内容（包括工程量清单和施工图纸及采购文件中所述的各种因素），愿意以人民币（大写）</w:t>
      </w:r>
      <w:r>
        <w:rPr>
          <w:rFonts w:hint="eastAsia" w:ascii="Times New Roman" w:hAnsi="Times New Roman"/>
          <w:color w:val="auto"/>
          <w:sz w:val="24"/>
          <w:szCs w:val="24"/>
          <w:u w:val="single"/>
        </w:rPr>
        <w:t xml:space="preserve">      </w:t>
      </w:r>
      <w:r>
        <w:rPr>
          <w:rFonts w:hint="eastAsia" w:ascii="Times New Roman" w:hAnsi="Times New Roman"/>
          <w:color w:val="auto"/>
          <w:sz w:val="24"/>
          <w:szCs w:val="24"/>
        </w:rPr>
        <w:t>（</w:t>
      </w:r>
      <w:r>
        <w:rPr>
          <w:rFonts w:hint="default" w:ascii="Times New Roman" w:hAnsi="Times New Roman" w:eastAsia="Times New Roman"/>
          <w:color w:val="auto"/>
          <w:sz w:val="24"/>
          <w:szCs w:val="24"/>
        </w:rPr>
        <w:t>¥</w:t>
      </w:r>
      <w:r>
        <w:rPr>
          <w:rFonts w:hint="eastAsia" w:ascii="Times New Roman" w:hAnsi="Times New Roman"/>
          <w:color w:val="auto"/>
          <w:sz w:val="24"/>
          <w:szCs w:val="24"/>
          <w:u w:val="single"/>
        </w:rPr>
        <w:t xml:space="preserve">     </w:t>
      </w:r>
      <w:r>
        <w:rPr>
          <w:rFonts w:hint="default" w:ascii="Times New Roman" w:hAnsi="Times New Roman" w:eastAsia="Times New Roman"/>
          <w:color w:val="auto"/>
          <w:sz w:val="24"/>
          <w:szCs w:val="24"/>
          <w:u w:val="single"/>
        </w:rPr>
        <w:t xml:space="preserve"> </w:t>
      </w:r>
      <w:r>
        <w:rPr>
          <w:rFonts w:hint="eastAsia" w:ascii="Times New Roman" w:hAnsi="Times New Roman"/>
          <w:color w:val="auto"/>
          <w:sz w:val="24"/>
          <w:szCs w:val="24"/>
        </w:rPr>
        <w:t>）的响应总报价提供采购文件标明的货物要求、技术服务和质保期服务措施，并按合同约定履行义务。</w:t>
      </w:r>
    </w:p>
    <w:p w14:paraId="1929C82B">
      <w:pPr>
        <w:spacing w:beforeLines="0" w:afterLines="0" w:line="400" w:lineRule="exact"/>
        <w:ind w:firstLine="480" w:firstLineChars="200"/>
        <w:rPr>
          <w:rFonts w:hint="eastAsia" w:ascii="Times New Roman" w:hAnsi="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．我方承诺在响应有效期内不修改、撤销响应文件。</w:t>
      </w:r>
    </w:p>
    <w:p w14:paraId="28A599C3">
      <w:pPr>
        <w:spacing w:beforeLines="0" w:afterLines="0" w:line="400" w:lineRule="exact"/>
        <w:ind w:firstLine="480" w:firstLineChars="200"/>
        <w:rPr>
          <w:rFonts w:hint="default" w:ascii="Times New Roman" w:hAnsi="Times New Roman"/>
          <w:color w:val="auto"/>
          <w:sz w:val="24"/>
          <w:szCs w:val="24"/>
        </w:rPr>
      </w:pPr>
      <w:r>
        <w:rPr>
          <w:rFonts w:hint="eastAsia" w:ascii="Times New Roman" w:hAnsi="Times New Roman"/>
          <w:color w:val="auto"/>
          <w:sz w:val="24"/>
          <w:szCs w:val="24"/>
        </w:rPr>
        <w:t>3.材料质量：</w:t>
      </w:r>
      <w:r>
        <w:rPr>
          <w:rFonts w:hint="eastAsia" w:ascii="Times New Roman" w:hAnsi="Times New Roman"/>
          <w:color w:val="auto"/>
          <w:sz w:val="24"/>
          <w:szCs w:val="24"/>
          <w:u w:val="single"/>
        </w:rPr>
        <w:t>响应采购文件要求</w:t>
      </w:r>
      <w:r>
        <w:rPr>
          <w:rFonts w:hint="eastAsia" w:ascii="Times New Roman" w:hAnsi="Times New Roman"/>
          <w:color w:val="auto"/>
          <w:sz w:val="24"/>
          <w:szCs w:val="24"/>
        </w:rPr>
        <w:t>；交货期：</w:t>
      </w:r>
      <w:r>
        <w:rPr>
          <w:rFonts w:hint="eastAsia" w:ascii="Times New Roman" w:hAnsi="Times New Roman"/>
          <w:color w:val="auto"/>
          <w:sz w:val="24"/>
          <w:szCs w:val="24"/>
          <w:u w:val="single"/>
        </w:rPr>
        <w:t>响应采购文件要求。</w:t>
      </w:r>
    </w:p>
    <w:p w14:paraId="105F3C5E">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4．如我方成交：</w:t>
      </w:r>
    </w:p>
    <w:p w14:paraId="6BA04CD0">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我方承诺在收到成交通知书后，在成交通知书规定的期限内与你方签订合同。</w:t>
      </w:r>
    </w:p>
    <w:p w14:paraId="1AB527B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我方承诺按照采购文件规定向你方递交履约担保。</w:t>
      </w:r>
    </w:p>
    <w:p w14:paraId="4E82127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(3)</w:t>
      </w:r>
      <w:r>
        <w:rPr>
          <w:rFonts w:hint="eastAsia" w:ascii="Times New Roman" w:hAnsi="Times New Roman"/>
          <w:color w:val="auto"/>
          <w:sz w:val="24"/>
          <w:szCs w:val="24"/>
        </w:rPr>
        <w:t>我方承诺在合同约定的期限内完成全部合同任务。</w:t>
      </w:r>
    </w:p>
    <w:p w14:paraId="096850B3">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5．我方在此声明，所递交的响应文件及有关资料内容完整、真实和准确。</w:t>
      </w:r>
    </w:p>
    <w:p w14:paraId="1987D0AA">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6．在合同协议书正式签署生效之前，本响应函连同你方的成交通知书将构成我们双方之间共同遵守的文件，对双方具有约束力。</w:t>
      </w:r>
    </w:p>
    <w:p w14:paraId="032D65D4">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7．我方已按采购文件要求详细审核并确认全部采购文件及有关附件，充分理解采购价格不得低于企业个别成本有关规定。我方经成本核算，所填报的响应报价不低于企业个别成本。</w:t>
      </w:r>
    </w:p>
    <w:p w14:paraId="0DE2883F">
      <w:pPr>
        <w:spacing w:beforeLines="0" w:afterLines="0" w:line="400" w:lineRule="exact"/>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8.____/____（其他补充说明）。</w:t>
      </w:r>
    </w:p>
    <w:p w14:paraId="6F1849EA">
      <w:pPr>
        <w:pStyle w:val="8"/>
        <w:spacing w:beforeLines="0" w:afterLines="0"/>
        <w:rPr>
          <w:rFonts w:hint="eastAsia" w:ascii="Times New Roman" w:hAnsi="Times New Roman"/>
          <w:color w:val="auto"/>
          <w:sz w:val="24"/>
          <w:szCs w:val="24"/>
          <w:highlight w:val="yellow"/>
        </w:rPr>
      </w:pPr>
    </w:p>
    <w:p w14:paraId="7D24F392">
      <w:pPr>
        <w:pStyle w:val="8"/>
        <w:tabs>
          <w:tab w:val="left" w:pos="6379"/>
        </w:tabs>
        <w:spacing w:line="480" w:lineRule="exact"/>
        <w:rPr>
          <w:rFonts w:hint="eastAsia" w:ascii="宋体" w:hAnsi="宋体" w:cs="宋体"/>
          <w:color w:val="auto"/>
          <w:sz w:val="24"/>
          <w:szCs w:val="24"/>
        </w:rPr>
      </w:pPr>
    </w:p>
    <w:p w14:paraId="38E07962">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供  应  商 ：</w:t>
      </w:r>
      <w:bookmarkStart w:id="117" w:name="_Hlk122530524"/>
      <w:r>
        <w:rPr>
          <w:rFonts w:hint="eastAsia" w:ascii="宋体" w:hAnsi="宋体" w:cs="宋体"/>
          <w:color w:val="auto"/>
          <w:sz w:val="24"/>
          <w:szCs w:val="24"/>
          <w:u w:val="single"/>
        </w:rPr>
        <w:t xml:space="preserve">           </w:t>
      </w:r>
      <w:bookmarkEnd w:id="117"/>
      <w:r>
        <w:rPr>
          <w:rFonts w:hint="eastAsia" w:ascii="宋体" w:hAnsi="宋体" w:cs="宋体"/>
          <w:color w:val="auto"/>
          <w:sz w:val="24"/>
          <w:szCs w:val="24"/>
        </w:rPr>
        <w:t>（盖单位公章）</w:t>
      </w:r>
    </w:p>
    <w:p w14:paraId="00C59364">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A15E6CF">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77D4F7C">
      <w:pPr>
        <w:spacing w:beforeLines="0" w:afterLines="0" w:line="400" w:lineRule="exact"/>
        <w:ind w:firstLine="4740" w:firstLineChars="1975"/>
        <w:jc w:val="right"/>
        <w:rPr>
          <w:rFonts w:hint="default" w:ascii="Times New Roman" w:hAnsi="Times New Roman" w:eastAsia="Times New Roman"/>
          <w:color w:val="auto"/>
          <w:sz w:val="24"/>
          <w:szCs w:val="24"/>
          <w:highlight w:val="yellow"/>
        </w:rPr>
      </w:pPr>
    </w:p>
    <w:p w14:paraId="703F0285">
      <w:pPr>
        <w:spacing w:beforeLines="0" w:afterLines="0" w:line="440" w:lineRule="exact"/>
        <w:ind w:firstLine="440"/>
        <w:jc w:val="right"/>
        <w:rPr>
          <w:rFonts w:hint="default" w:ascii="Times New Roman" w:hAnsi="Times New Roman" w:eastAsia="黑体"/>
          <w:color w:val="auto"/>
          <w:sz w:val="20"/>
          <w:szCs w:val="20"/>
        </w:rPr>
      </w:pPr>
    </w:p>
    <w:p w14:paraId="51EFFBF3">
      <w:pPr>
        <w:spacing w:beforeLines="0" w:afterLines="0" w:line="440" w:lineRule="exact"/>
        <w:jc w:val="center"/>
        <w:outlineLvl w:val="1"/>
        <w:rPr>
          <w:rFonts w:hint="default" w:ascii="Times New Roman" w:hAnsi="Times New Roman" w:eastAsia="黑体"/>
          <w:color w:val="auto"/>
          <w:sz w:val="28"/>
          <w:szCs w:val="28"/>
        </w:rPr>
      </w:pPr>
      <w:bookmarkStart w:id="118" w:name="_Toc21389_WPSOffice_Level1"/>
      <w:bookmarkStart w:id="119" w:name="_Toc29236_WPSOffice_Level1"/>
    </w:p>
    <w:p w14:paraId="51BB6E1B">
      <w:pPr>
        <w:spacing w:beforeLines="0" w:afterLines="0" w:line="440" w:lineRule="exact"/>
        <w:jc w:val="center"/>
        <w:outlineLvl w:val="1"/>
        <w:rPr>
          <w:rFonts w:hint="default" w:ascii="Times New Roman" w:hAnsi="Times New Roman" w:eastAsia="黑体"/>
          <w:color w:val="auto"/>
          <w:sz w:val="28"/>
          <w:szCs w:val="28"/>
        </w:rPr>
      </w:pPr>
    </w:p>
    <w:p w14:paraId="125808A9">
      <w:pPr>
        <w:spacing w:beforeLines="0" w:afterLines="0" w:line="440" w:lineRule="exact"/>
        <w:jc w:val="center"/>
        <w:outlineLvl w:val="1"/>
        <w:rPr>
          <w:rFonts w:hint="default" w:ascii="Times New Roman" w:hAnsi="Times New Roman" w:eastAsia="黑体"/>
          <w:color w:val="auto"/>
          <w:sz w:val="28"/>
          <w:szCs w:val="28"/>
        </w:rPr>
      </w:pPr>
    </w:p>
    <w:p w14:paraId="11326C99">
      <w:pPr>
        <w:numPr>
          <w:ilvl w:val="0"/>
          <w:numId w:val="6"/>
        </w:num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法定代表人身份证明及授权委托书</w:t>
      </w:r>
    </w:p>
    <w:p w14:paraId="2111DF82">
      <w:pPr>
        <w:numPr>
          <w:ilvl w:val="0"/>
          <w:numId w:val="0"/>
        </w:numPr>
        <w:spacing w:beforeLines="0" w:afterLines="0" w:line="440" w:lineRule="exact"/>
        <w:outlineLvl w:val="1"/>
        <w:rPr>
          <w:rFonts w:hint="default" w:ascii="Times New Roman" w:hAnsi="Times New Roman" w:eastAsia="黑体"/>
          <w:color w:val="auto"/>
          <w:sz w:val="28"/>
          <w:szCs w:val="28"/>
        </w:rPr>
      </w:pPr>
    </w:p>
    <w:p w14:paraId="2C505E7D">
      <w:pPr>
        <w:spacing w:beforeLines="0" w:afterLines="0" w:line="440" w:lineRule="exact"/>
        <w:jc w:val="center"/>
        <w:rPr>
          <w:rFonts w:hint="default" w:ascii="Times New Roman" w:hAnsi="Times New Roman"/>
          <w:color w:val="auto"/>
          <w:sz w:val="28"/>
          <w:szCs w:val="28"/>
        </w:rPr>
      </w:pPr>
      <w:r>
        <w:rPr>
          <w:rFonts w:hint="default" w:ascii="Times New Roman" w:hAnsi="Times New Roman" w:eastAsia="黑体"/>
          <w:color w:val="auto"/>
          <w:sz w:val="28"/>
          <w:szCs w:val="28"/>
          <w:lang w:bidi="ar"/>
        </w:rPr>
        <w:t xml:space="preserve">2-1 </w:t>
      </w:r>
      <w:r>
        <w:rPr>
          <w:rFonts w:hint="eastAsia" w:ascii="黑体" w:hAnsi="宋体" w:eastAsia="黑体" w:cs="黑体"/>
          <w:color w:val="auto"/>
          <w:sz w:val="28"/>
          <w:szCs w:val="28"/>
          <w:lang w:bidi="ar"/>
        </w:rPr>
        <w:t>法定代表人身份证明</w:t>
      </w:r>
    </w:p>
    <w:p w14:paraId="3246747F">
      <w:pPr>
        <w:spacing w:beforeLines="0" w:afterLines="0" w:line="440" w:lineRule="exact"/>
        <w:rPr>
          <w:rFonts w:hint="default" w:ascii="Times New Roman" w:hAnsi="Times New Roman"/>
          <w:color w:val="auto"/>
          <w:sz w:val="20"/>
          <w:szCs w:val="20"/>
        </w:rPr>
      </w:pPr>
      <w:r>
        <w:rPr>
          <w:rFonts w:hint="default" w:ascii="Times New Roman" w:hAnsi="Times New Roman"/>
          <w:color w:val="auto"/>
          <w:sz w:val="20"/>
          <w:szCs w:val="20"/>
          <w:lang w:bidi="ar"/>
        </w:rPr>
        <w:t xml:space="preserve"> </w:t>
      </w:r>
    </w:p>
    <w:p w14:paraId="5C28CAF7">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供应商名称：</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048DC26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单位性质：</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6BFE6101">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地址：</w:t>
      </w:r>
      <w:r>
        <w:rPr>
          <w:rFonts w:hint="default" w:ascii="Times New Roman" w:hAnsi="Times New Roman"/>
          <w:color w:val="auto"/>
          <w:sz w:val="24"/>
          <w:szCs w:val="24"/>
          <w:u w:val="single"/>
          <w:lang w:bidi="ar"/>
        </w:rPr>
        <w:t xml:space="preserve">                                   </w:t>
      </w:r>
    </w:p>
    <w:p w14:paraId="3140587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成立时间：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p>
    <w:p w14:paraId="0AA93D4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经营期限：</w:t>
      </w:r>
      <w:r>
        <w:rPr>
          <w:rFonts w:hint="default" w:ascii="Times New Roman" w:hAnsi="Times New Roman"/>
          <w:color w:val="auto"/>
          <w:sz w:val="24"/>
          <w:szCs w:val="24"/>
          <w:u w:val="single"/>
          <w:lang w:bidi="ar"/>
        </w:rPr>
        <w:t xml:space="preserve">                               </w:t>
      </w:r>
    </w:p>
    <w:p w14:paraId="5901B3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姓名：</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性别：</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年龄：</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职务：</w:t>
      </w:r>
      <w:r>
        <w:rPr>
          <w:rFonts w:hint="default" w:ascii="Times New Roman" w:hAnsi="Times New Roman"/>
          <w:color w:val="auto"/>
          <w:sz w:val="24"/>
          <w:szCs w:val="24"/>
          <w:u w:val="single"/>
          <w:lang w:bidi="ar"/>
        </w:rPr>
        <w:t xml:space="preserve">        </w:t>
      </w:r>
    </w:p>
    <w:p w14:paraId="704A08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w:t>
      </w:r>
    </w:p>
    <w:p w14:paraId="635EEEEC">
      <w:pPr>
        <w:spacing w:beforeLines="0" w:afterLines="0" w:line="440" w:lineRule="exact"/>
        <w:ind w:firstLine="482" w:firstLineChars="200"/>
        <w:rPr>
          <w:rFonts w:hint="default" w:ascii="Times New Roman" w:hAnsi="Times New Roman"/>
          <w:b/>
          <w:color w:val="auto"/>
          <w:sz w:val="24"/>
          <w:szCs w:val="24"/>
        </w:rPr>
      </w:pPr>
      <w:r>
        <w:rPr>
          <w:rFonts w:hint="eastAsia" w:ascii="宋体" w:hAnsi="宋体" w:cs="宋体"/>
          <w:b/>
          <w:color w:val="auto"/>
          <w:sz w:val="24"/>
          <w:szCs w:val="24"/>
          <w:lang w:bidi="ar"/>
        </w:rPr>
        <w:t>附：法定代表人身份证正反面复印件</w:t>
      </w:r>
    </w:p>
    <w:p w14:paraId="07465974">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B4C5030">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特此证明。</w:t>
      </w:r>
    </w:p>
    <w:p w14:paraId="2054327E">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121FA1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1D25907D">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7F5D9469">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r>
        <w:rPr>
          <w:rFonts w:hint="default" w:ascii="Times New Roman" w:hAnsi="Times New Roman"/>
          <w:color w:val="auto"/>
          <w:sz w:val="24"/>
          <w:szCs w:val="24"/>
          <w:lang w:bidi="ar"/>
        </w:rPr>
        <w:t xml:space="preserve">           </w:t>
      </w:r>
    </w:p>
    <w:p w14:paraId="14460830">
      <w:pPr>
        <w:topLinePunct/>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1E559577">
      <w:pPr>
        <w:spacing w:beforeLines="0" w:afterLines="0" w:line="440" w:lineRule="exact"/>
        <w:jc w:val="center"/>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79E0327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4085A8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392A878C">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72E4EA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B65584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3C5D450">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946D8B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6C4C32D">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B0E860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4E13C63">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82D2E26">
      <w:pPr>
        <w:pStyle w:val="20"/>
        <w:tabs>
          <w:tab w:val="left" w:pos="1078"/>
          <w:tab w:val="left" w:pos="1176"/>
          <w:tab w:val="left" w:pos="1638"/>
          <w:tab w:val="left" w:pos="3920"/>
          <w:tab w:val="left" w:pos="5670"/>
        </w:tabs>
        <w:spacing w:beforeLines="0" w:afterLines="0"/>
        <w:ind w:left="0" w:leftChars="0" w:firstLine="0" w:firstLineChars="0"/>
        <w:rPr>
          <w:rFonts w:hint="default" w:ascii="Times New Roman" w:hAnsi="Times New Roman"/>
          <w:color w:val="auto"/>
          <w:sz w:val="24"/>
          <w:szCs w:val="22"/>
        </w:rPr>
      </w:pPr>
    </w:p>
    <w:p w14:paraId="01B3DC28">
      <w:pPr>
        <w:spacing w:beforeLines="0" w:afterLines="0" w:line="440" w:lineRule="exact"/>
        <w:jc w:val="center"/>
        <w:rPr>
          <w:rFonts w:hint="default" w:ascii="Times New Roman" w:hAnsi="Times New Roman" w:eastAsia="黑体"/>
          <w:color w:val="auto"/>
          <w:sz w:val="28"/>
          <w:szCs w:val="28"/>
        </w:rPr>
      </w:pPr>
      <w:r>
        <w:rPr>
          <w:rFonts w:hint="eastAsia" w:ascii="Times New Roman" w:hAnsi="Times New Roman" w:eastAsia="黑体"/>
          <w:color w:val="auto"/>
          <w:sz w:val="28"/>
          <w:szCs w:val="28"/>
        </w:rPr>
        <w:t>2-2授权委托书</w:t>
      </w:r>
      <w:bookmarkEnd w:id="118"/>
      <w:bookmarkEnd w:id="119"/>
    </w:p>
    <w:p w14:paraId="4C0F033F">
      <w:pPr>
        <w:topLinePunct/>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本人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的法定代表人，现委托</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为我方代理人。代理人根据授权，以我方名义签署、澄清、说明、补正、递交、撤回、修改</w:t>
      </w:r>
      <w:r>
        <w:rPr>
          <w:rFonts w:hint="eastAsia" w:ascii="Times New Roman" w:hAnsi="Times New Roman"/>
          <w:color w:val="000000" w:themeColor="text1"/>
          <w:sz w:val="24"/>
          <w:szCs w:val="24"/>
          <w:u w:val="single"/>
          <w:lang w:val="en-US" w:eastAsia="zh-CN" w:bidi="ar"/>
          <w14:textFill>
            <w14:solidFill>
              <w14:schemeClr w14:val="tx1"/>
            </w14:solidFill>
          </w14:textFill>
        </w:rPr>
        <w:t>安徽省经工物资有限公司惠达洁具年度采购项目</w:t>
      </w:r>
      <w:r>
        <w:rPr>
          <w:rFonts w:hint="default" w:ascii="Times New Roman" w:hAnsi="Times New Roman"/>
          <w:color w:val="auto"/>
          <w:sz w:val="24"/>
          <w:szCs w:val="24"/>
          <w:lang w:bidi="ar"/>
        </w:rPr>
        <w:t>(</w:t>
      </w:r>
      <w:r>
        <w:rPr>
          <w:rFonts w:hint="eastAsia" w:ascii="宋体" w:hAnsi="宋体" w:cs="宋体"/>
          <w:color w:val="auto"/>
          <w:sz w:val="24"/>
          <w:szCs w:val="24"/>
          <w:lang w:bidi="ar"/>
        </w:rPr>
        <w:t>项目名称</w:t>
      </w:r>
      <w:r>
        <w:rPr>
          <w:rFonts w:hint="default" w:ascii="Times New Roman" w:hAnsi="Times New Roman"/>
          <w:color w:val="auto"/>
          <w:sz w:val="24"/>
          <w:szCs w:val="24"/>
          <w:lang w:bidi="ar"/>
        </w:rPr>
        <w:t>)</w:t>
      </w:r>
      <w:r>
        <w:rPr>
          <w:rFonts w:hint="eastAsia" w:ascii="宋体" w:hAnsi="宋体" w:cs="宋体"/>
          <w:color w:val="auto"/>
          <w:sz w:val="24"/>
          <w:szCs w:val="24"/>
          <w:lang w:bidi="ar"/>
        </w:rPr>
        <w:t>响应文件、签订合同和处理有关事宜，其法律后果由我方承担。</w:t>
      </w:r>
    </w:p>
    <w:p w14:paraId="4106E64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委托期限：</w:t>
      </w:r>
      <w:r>
        <w:rPr>
          <w:rFonts w:hint="eastAsia" w:ascii="宋体" w:hAnsi="宋体" w:cs="宋体"/>
          <w:color w:val="auto"/>
          <w:sz w:val="24"/>
          <w:szCs w:val="24"/>
          <w:u w:val="single"/>
          <w:lang w:bidi="ar"/>
        </w:rPr>
        <w:t>自授权委托之日起至签订合同之日止</w:t>
      </w:r>
      <w:r>
        <w:rPr>
          <w:rFonts w:hint="eastAsia" w:ascii="宋体" w:hAnsi="宋体" w:cs="宋体"/>
          <w:color w:val="auto"/>
          <w:sz w:val="24"/>
          <w:szCs w:val="24"/>
          <w:lang w:bidi="ar"/>
        </w:rPr>
        <w:t>。</w:t>
      </w:r>
    </w:p>
    <w:p w14:paraId="1D4E2DBD">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代理人无转委托权。</w:t>
      </w:r>
    </w:p>
    <w:p w14:paraId="655ED915">
      <w:pPr>
        <w:spacing w:beforeLines="0" w:afterLines="0" w:line="440" w:lineRule="exact"/>
        <w:ind w:firstLine="480" w:firstLineChars="200"/>
        <w:rPr>
          <w:rFonts w:hint="default" w:ascii="Times New Roman" w:hAnsi="Times New Roman"/>
          <w:b/>
          <w:color w:val="auto"/>
          <w:sz w:val="24"/>
          <w:szCs w:val="24"/>
        </w:rPr>
      </w:pPr>
      <w:r>
        <w:rPr>
          <w:rFonts w:hint="eastAsia" w:ascii="宋体" w:hAnsi="宋体" w:cs="宋体"/>
          <w:color w:val="auto"/>
          <w:sz w:val="24"/>
          <w:szCs w:val="24"/>
          <w:lang w:bidi="ar"/>
        </w:rPr>
        <w:t>附：</w:t>
      </w:r>
      <w:r>
        <w:rPr>
          <w:rFonts w:hint="eastAsia" w:ascii="宋体" w:hAnsi="宋体" w:cs="宋体"/>
          <w:b/>
          <w:color w:val="auto"/>
          <w:sz w:val="24"/>
          <w:szCs w:val="24"/>
          <w:lang w:bidi="ar"/>
        </w:rPr>
        <w:t>法定代表人身份证明、委托代理人的身份证正反面复印件</w:t>
      </w:r>
    </w:p>
    <w:p w14:paraId="2856EDBD">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C2FE78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14D65F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1359F23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D710DD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法定代表人：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签字或法人章</w:t>
      </w:r>
      <w:r>
        <w:rPr>
          <w:rFonts w:hint="default" w:ascii="Times New Roman" w:hAnsi="Times New Roman"/>
          <w:color w:val="auto"/>
          <w:sz w:val="24"/>
          <w:szCs w:val="24"/>
          <w:lang w:bidi="ar"/>
        </w:rPr>
        <w:t>)</w:t>
      </w:r>
    </w:p>
    <w:p w14:paraId="077861E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9EC251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2ECC8C86">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36D2F6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委托代理人：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w:t>
      </w:r>
      <w:r>
        <w:rPr>
          <w:rFonts w:hint="default" w:ascii="Times New Roman" w:hAnsi="Times New Roman"/>
          <w:color w:val="auto"/>
          <w:sz w:val="24"/>
          <w:szCs w:val="24"/>
          <w:lang w:bidi="ar"/>
        </w:rPr>
        <w:t>)</w:t>
      </w:r>
    </w:p>
    <w:p w14:paraId="51A0D67B">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22517D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105DAEE7">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0E52464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4AD6CE0A">
      <w:pPr>
        <w:spacing w:beforeLines="0" w:afterLines="0" w:line="440" w:lineRule="exact"/>
        <w:ind w:firstLine="1800" w:firstLineChars="750"/>
        <w:rPr>
          <w:rFonts w:hint="default" w:ascii="Times New Roman" w:hAnsi="Times New Roman" w:eastAsia="黑体"/>
          <w:color w:val="auto"/>
          <w:sz w:val="24"/>
          <w:szCs w:val="24"/>
        </w:rPr>
      </w:pP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日</w:t>
      </w:r>
    </w:p>
    <w:p w14:paraId="4EDD7F7F">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32069C42">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5D85B2E6">
      <w:pPr>
        <w:spacing w:beforeLines="0" w:afterLines="0" w:line="440" w:lineRule="exact"/>
        <w:rPr>
          <w:rFonts w:hint="eastAsia" w:ascii="Times New Roman" w:hAnsi="Times New Roman" w:eastAsia="黑体"/>
          <w:color w:val="auto"/>
          <w:sz w:val="24"/>
          <w:szCs w:val="24"/>
        </w:rPr>
      </w:pPr>
      <w:r>
        <w:rPr>
          <w:rFonts w:hint="eastAsia" w:ascii="黑体" w:hAnsi="宋体" w:eastAsia="黑体" w:cs="黑体"/>
          <w:color w:val="auto"/>
          <w:sz w:val="24"/>
          <w:szCs w:val="24"/>
          <w:lang w:bidi="ar"/>
        </w:rPr>
        <w:t>注：</w:t>
      </w:r>
    </w:p>
    <w:p w14:paraId="68D5565E">
      <w:pPr>
        <w:spacing w:beforeLines="0" w:afterLines="0" w:line="440" w:lineRule="exact"/>
        <w:rPr>
          <w:rFonts w:hint="default" w:ascii="Times New Roman" w:hAnsi="Times New Roman" w:eastAsia="黑体"/>
          <w:color w:val="auto"/>
          <w:sz w:val="24"/>
          <w:szCs w:val="24"/>
        </w:rPr>
      </w:pPr>
      <w:r>
        <w:rPr>
          <w:rFonts w:hint="eastAsia" w:ascii="黑体" w:hAnsi="宋体" w:eastAsia="黑体" w:cs="黑体"/>
          <w:color w:val="auto"/>
          <w:sz w:val="24"/>
          <w:szCs w:val="24"/>
          <w:lang w:bidi="ar"/>
        </w:rPr>
        <w:t>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活动并签署文件的不需要授权委托书，只需提供法定代表人（单位负责人）身份证明；非法定代表人（单位负责人）参加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活动及签署文件的除提供法定代表人（单位负责人）身份证明外还须提供授权委托书。</w:t>
      </w:r>
      <w:r>
        <w:rPr>
          <w:rFonts w:hint="default" w:ascii="Times New Roman" w:hAnsi="Times New Roman" w:eastAsia="黑体"/>
          <w:color w:val="auto"/>
          <w:sz w:val="24"/>
          <w:szCs w:val="24"/>
          <w:lang w:bidi="ar"/>
        </w:rPr>
        <w:br w:type="page"/>
      </w:r>
    </w:p>
    <w:p w14:paraId="0F491CBB">
      <w:pPr>
        <w:spacing w:beforeLines="0" w:afterLines="0"/>
        <w:rPr>
          <w:rFonts w:hint="default" w:ascii="Times New Roman" w:hAnsi="Times New Roman" w:eastAsia="黑体"/>
          <w:color w:val="auto"/>
          <w:sz w:val="24"/>
          <w:szCs w:val="24"/>
        </w:rPr>
        <w:sectPr>
          <w:headerReference r:id="rId5" w:type="default"/>
          <w:footerReference r:id="rId6" w:type="default"/>
          <w:pgSz w:w="11906" w:h="16838"/>
          <w:pgMar w:top="1440" w:right="1797" w:bottom="1440" w:left="1797" w:header="851" w:footer="992" w:gutter="0"/>
          <w:lnNumType w:countBy="0" w:distance="360"/>
          <w:pgNumType w:fmt="decimal"/>
          <w:cols w:space="720" w:num="1"/>
          <w:docGrid w:type="lines" w:linePitch="312" w:charSpace="0"/>
        </w:sectPr>
      </w:pPr>
    </w:p>
    <w:p w14:paraId="1A7584C2">
      <w:pPr>
        <w:spacing w:beforeLines="0" w:afterLines="0" w:line="440" w:lineRule="exact"/>
        <w:jc w:val="center"/>
        <w:outlineLvl w:val="1"/>
        <w:rPr>
          <w:rFonts w:hint="default" w:ascii="Times New Roman" w:hAnsi="Times New Roman" w:eastAsia="黑体"/>
          <w:color w:val="auto"/>
          <w:sz w:val="28"/>
          <w:szCs w:val="28"/>
        </w:rPr>
      </w:pPr>
      <w:bookmarkStart w:id="120" w:name="_Toc202_WPSOffice_Level1"/>
      <w:bookmarkStart w:id="121" w:name="_Toc1902_WPSOffice_Level1"/>
      <w:r>
        <w:rPr>
          <w:rFonts w:hint="eastAsia" w:ascii="Times New Roman" w:hAnsi="Times New Roman" w:eastAsia="黑体"/>
          <w:color w:val="auto"/>
          <w:sz w:val="28"/>
          <w:szCs w:val="28"/>
        </w:rPr>
        <w:t>三、已标价的报价清单</w:t>
      </w:r>
      <w:bookmarkEnd w:id="120"/>
      <w:bookmarkEnd w:id="121"/>
    </w:p>
    <w:p w14:paraId="0A7EC16A">
      <w:pPr>
        <w:spacing w:beforeLines="0" w:afterLines="0" w:line="440" w:lineRule="exact"/>
        <w:rPr>
          <w:rFonts w:hint="default" w:ascii="Times New Roman" w:hAnsi="Times New Roman" w:eastAsia="黑体"/>
          <w:color w:val="auto"/>
          <w:sz w:val="24"/>
          <w:szCs w:val="24"/>
        </w:rPr>
      </w:pPr>
    </w:p>
    <w:p w14:paraId="65B28563">
      <w:pPr>
        <w:spacing w:beforeLines="0" w:afterLines="0" w:line="440" w:lineRule="exact"/>
        <w:rPr>
          <w:rFonts w:hint="default" w:ascii="Times New Roman" w:hAnsi="Times New Roman" w:eastAsia="黑体"/>
          <w:color w:val="auto"/>
          <w:sz w:val="24"/>
          <w:szCs w:val="24"/>
        </w:rPr>
      </w:pPr>
    </w:p>
    <w:p w14:paraId="158901E7">
      <w:pPr>
        <w:spacing w:beforeLines="0" w:afterLines="0"/>
        <w:rPr>
          <w:rFonts w:hint="eastAsia" w:ascii="Times New Roman" w:hAnsi="Times New Roman" w:eastAsia="黑体"/>
          <w:color w:val="auto"/>
          <w:sz w:val="24"/>
          <w:szCs w:val="24"/>
          <w:highlight w:val="yellow"/>
        </w:rPr>
      </w:pPr>
      <w:r>
        <w:rPr>
          <w:rFonts w:hint="eastAsia" w:ascii="Times New Roman" w:hAnsi="Times New Roman" w:eastAsia="黑体"/>
          <w:color w:val="auto"/>
          <w:sz w:val="24"/>
          <w:szCs w:val="24"/>
          <w:highlight w:val="yellow"/>
        </w:rPr>
        <w:t>附报价清单</w:t>
      </w:r>
    </w:p>
    <w:p w14:paraId="4B937A73">
      <w:pPr>
        <w:spacing w:beforeLines="0" w:afterLines="0"/>
        <w:rPr>
          <w:rFonts w:hint="eastAsia" w:ascii="Times New Roman" w:hAnsi="Times New Roman" w:eastAsia="黑体"/>
          <w:color w:val="auto"/>
          <w:sz w:val="24"/>
          <w:szCs w:val="24"/>
        </w:rPr>
      </w:pPr>
    </w:p>
    <w:p w14:paraId="449194F4">
      <w:pPr>
        <w:spacing w:beforeLines="0" w:afterLines="0"/>
        <w:rPr>
          <w:rFonts w:hint="eastAsia" w:ascii="Times New Roman" w:hAnsi="Times New Roman" w:eastAsia="黑体"/>
          <w:color w:val="auto"/>
          <w:sz w:val="24"/>
          <w:szCs w:val="24"/>
        </w:rPr>
      </w:pPr>
    </w:p>
    <w:p w14:paraId="34EB9B7A">
      <w:pPr>
        <w:spacing w:beforeLines="0" w:afterLines="0"/>
        <w:rPr>
          <w:rFonts w:hint="eastAsia" w:ascii="Times New Roman" w:hAnsi="Times New Roman" w:eastAsia="黑体"/>
          <w:color w:val="auto"/>
          <w:sz w:val="24"/>
          <w:szCs w:val="24"/>
        </w:rPr>
      </w:pPr>
    </w:p>
    <w:p w14:paraId="11BD2CF0">
      <w:pPr>
        <w:spacing w:beforeLines="0" w:afterLines="0"/>
        <w:rPr>
          <w:rFonts w:hint="eastAsia" w:ascii="Times New Roman" w:hAnsi="Times New Roman" w:eastAsia="黑体"/>
          <w:color w:val="auto"/>
          <w:sz w:val="24"/>
          <w:szCs w:val="24"/>
        </w:rPr>
      </w:pPr>
    </w:p>
    <w:p w14:paraId="4E957D1F">
      <w:pPr>
        <w:spacing w:beforeLines="0" w:afterLines="0"/>
        <w:rPr>
          <w:rFonts w:hint="eastAsia" w:ascii="Times New Roman" w:hAnsi="Times New Roman" w:eastAsia="黑体"/>
          <w:color w:val="auto"/>
          <w:sz w:val="24"/>
          <w:szCs w:val="24"/>
        </w:rPr>
      </w:pPr>
    </w:p>
    <w:p w14:paraId="5542857F">
      <w:pPr>
        <w:spacing w:beforeLines="0" w:afterLines="0"/>
        <w:rPr>
          <w:rFonts w:hint="eastAsia" w:ascii="Times New Roman" w:hAnsi="Times New Roman" w:eastAsia="黑体"/>
          <w:color w:val="auto"/>
          <w:sz w:val="24"/>
          <w:szCs w:val="24"/>
        </w:rPr>
      </w:pPr>
    </w:p>
    <w:p w14:paraId="7204CD98">
      <w:pPr>
        <w:spacing w:beforeLines="0" w:afterLines="0"/>
        <w:rPr>
          <w:rFonts w:hint="eastAsia" w:ascii="Times New Roman" w:hAnsi="Times New Roman" w:eastAsia="黑体"/>
          <w:color w:val="auto"/>
          <w:sz w:val="24"/>
          <w:szCs w:val="24"/>
        </w:rPr>
      </w:pPr>
    </w:p>
    <w:p w14:paraId="40FE635F">
      <w:pPr>
        <w:spacing w:beforeLines="0" w:afterLines="0"/>
        <w:rPr>
          <w:rFonts w:hint="eastAsia" w:ascii="Times New Roman" w:hAnsi="Times New Roman" w:eastAsia="黑体"/>
          <w:color w:val="auto"/>
          <w:sz w:val="24"/>
          <w:szCs w:val="24"/>
        </w:rPr>
      </w:pPr>
    </w:p>
    <w:p w14:paraId="59097805">
      <w:pPr>
        <w:spacing w:beforeLines="0" w:afterLines="0"/>
        <w:rPr>
          <w:rFonts w:hint="eastAsia" w:ascii="Times New Roman" w:hAnsi="Times New Roman" w:eastAsia="黑体"/>
          <w:color w:val="auto"/>
          <w:sz w:val="24"/>
          <w:szCs w:val="24"/>
        </w:rPr>
      </w:pPr>
    </w:p>
    <w:p w14:paraId="59E3E9AD">
      <w:pPr>
        <w:spacing w:beforeLines="0" w:afterLines="0"/>
        <w:rPr>
          <w:rFonts w:hint="eastAsia" w:ascii="Times New Roman" w:hAnsi="Times New Roman" w:eastAsia="黑体"/>
          <w:color w:val="auto"/>
          <w:sz w:val="24"/>
          <w:szCs w:val="24"/>
        </w:rPr>
      </w:pPr>
    </w:p>
    <w:p w14:paraId="65CE0A8F">
      <w:pPr>
        <w:spacing w:beforeLines="0" w:afterLines="0"/>
        <w:rPr>
          <w:rFonts w:hint="eastAsia" w:ascii="Times New Roman" w:hAnsi="Times New Roman" w:eastAsia="黑体"/>
          <w:color w:val="auto"/>
          <w:sz w:val="24"/>
          <w:szCs w:val="24"/>
        </w:rPr>
      </w:pPr>
    </w:p>
    <w:p w14:paraId="730B324F">
      <w:pPr>
        <w:spacing w:beforeLines="0" w:afterLines="0"/>
        <w:rPr>
          <w:rFonts w:hint="eastAsia" w:ascii="Times New Roman" w:hAnsi="Times New Roman" w:eastAsia="黑体"/>
          <w:color w:val="auto"/>
          <w:sz w:val="24"/>
          <w:szCs w:val="24"/>
        </w:rPr>
      </w:pPr>
    </w:p>
    <w:p w14:paraId="04B73174">
      <w:pPr>
        <w:spacing w:beforeLines="0" w:afterLines="0"/>
        <w:rPr>
          <w:rFonts w:hint="eastAsia" w:ascii="Times New Roman" w:hAnsi="Times New Roman" w:eastAsia="黑体"/>
          <w:color w:val="auto"/>
          <w:sz w:val="24"/>
          <w:szCs w:val="24"/>
        </w:rPr>
      </w:pPr>
    </w:p>
    <w:p w14:paraId="11746314">
      <w:pPr>
        <w:spacing w:beforeLines="0" w:afterLines="0"/>
        <w:rPr>
          <w:rFonts w:hint="eastAsia" w:ascii="Times New Roman" w:hAnsi="Times New Roman" w:eastAsia="黑体"/>
          <w:color w:val="auto"/>
          <w:sz w:val="24"/>
          <w:szCs w:val="24"/>
        </w:rPr>
      </w:pPr>
    </w:p>
    <w:p w14:paraId="2CACE0FF">
      <w:pPr>
        <w:spacing w:beforeLines="0" w:afterLines="0"/>
        <w:rPr>
          <w:rFonts w:hint="eastAsia" w:ascii="Times New Roman" w:hAnsi="Times New Roman" w:eastAsia="黑体"/>
          <w:color w:val="auto"/>
          <w:sz w:val="24"/>
          <w:szCs w:val="24"/>
        </w:rPr>
      </w:pPr>
    </w:p>
    <w:p w14:paraId="012A4381">
      <w:pPr>
        <w:spacing w:beforeLines="0" w:afterLines="0"/>
        <w:rPr>
          <w:rFonts w:hint="eastAsia" w:ascii="Times New Roman" w:hAnsi="Times New Roman" w:eastAsia="黑体"/>
          <w:color w:val="auto"/>
          <w:sz w:val="24"/>
          <w:szCs w:val="24"/>
        </w:rPr>
      </w:pPr>
    </w:p>
    <w:p w14:paraId="17EE5195">
      <w:pPr>
        <w:spacing w:beforeLines="0" w:afterLines="0"/>
        <w:rPr>
          <w:rFonts w:hint="eastAsia" w:ascii="Times New Roman" w:hAnsi="Times New Roman" w:eastAsia="黑体"/>
          <w:color w:val="auto"/>
          <w:sz w:val="24"/>
          <w:szCs w:val="24"/>
        </w:rPr>
      </w:pPr>
    </w:p>
    <w:p w14:paraId="12F02DA2">
      <w:pPr>
        <w:spacing w:beforeLines="0" w:afterLines="0"/>
        <w:rPr>
          <w:rFonts w:hint="eastAsia" w:ascii="Times New Roman" w:hAnsi="Times New Roman" w:eastAsia="黑体"/>
          <w:color w:val="auto"/>
          <w:sz w:val="24"/>
          <w:szCs w:val="24"/>
        </w:rPr>
      </w:pPr>
    </w:p>
    <w:p w14:paraId="7EA8BEF0">
      <w:pPr>
        <w:spacing w:beforeLines="0" w:afterLines="0"/>
        <w:rPr>
          <w:rFonts w:hint="eastAsia" w:ascii="Times New Roman" w:hAnsi="Times New Roman" w:eastAsia="黑体"/>
          <w:color w:val="auto"/>
          <w:sz w:val="24"/>
          <w:szCs w:val="24"/>
        </w:rPr>
      </w:pPr>
    </w:p>
    <w:p w14:paraId="2E616A91">
      <w:pPr>
        <w:spacing w:beforeLines="0" w:afterLines="0"/>
        <w:rPr>
          <w:rFonts w:hint="eastAsia" w:ascii="Times New Roman" w:hAnsi="Times New Roman" w:eastAsia="黑体"/>
          <w:color w:val="auto"/>
          <w:sz w:val="24"/>
          <w:szCs w:val="24"/>
        </w:rPr>
      </w:pPr>
    </w:p>
    <w:p w14:paraId="748BBB66">
      <w:pPr>
        <w:spacing w:beforeLines="0" w:afterLines="0"/>
        <w:rPr>
          <w:rFonts w:hint="eastAsia" w:ascii="Times New Roman" w:hAnsi="Times New Roman" w:eastAsia="黑体"/>
          <w:color w:val="auto"/>
          <w:sz w:val="24"/>
          <w:szCs w:val="24"/>
        </w:rPr>
      </w:pPr>
    </w:p>
    <w:p w14:paraId="304AF058">
      <w:pPr>
        <w:spacing w:beforeLines="0" w:afterLines="0"/>
        <w:rPr>
          <w:rFonts w:hint="eastAsia" w:ascii="Times New Roman" w:hAnsi="Times New Roman" w:eastAsia="黑体"/>
          <w:color w:val="auto"/>
          <w:sz w:val="24"/>
          <w:szCs w:val="24"/>
        </w:rPr>
      </w:pPr>
    </w:p>
    <w:p w14:paraId="30BEFE0D">
      <w:pPr>
        <w:spacing w:beforeLines="0" w:afterLines="0"/>
        <w:rPr>
          <w:rFonts w:hint="eastAsia" w:ascii="Times New Roman" w:hAnsi="Times New Roman" w:eastAsia="黑体"/>
          <w:color w:val="auto"/>
          <w:sz w:val="24"/>
          <w:szCs w:val="24"/>
        </w:rPr>
      </w:pPr>
    </w:p>
    <w:p w14:paraId="08F250DA">
      <w:pPr>
        <w:spacing w:beforeLines="0" w:afterLines="0"/>
        <w:rPr>
          <w:rFonts w:hint="eastAsia" w:ascii="Times New Roman" w:hAnsi="Times New Roman" w:eastAsia="黑体"/>
          <w:color w:val="auto"/>
          <w:sz w:val="24"/>
          <w:szCs w:val="24"/>
        </w:rPr>
      </w:pPr>
    </w:p>
    <w:p w14:paraId="6DF619BC">
      <w:pPr>
        <w:spacing w:beforeLines="0" w:afterLines="0"/>
        <w:rPr>
          <w:rFonts w:hint="eastAsia" w:ascii="Times New Roman" w:hAnsi="Times New Roman" w:eastAsia="黑体"/>
          <w:color w:val="auto"/>
          <w:sz w:val="24"/>
          <w:szCs w:val="24"/>
        </w:rPr>
      </w:pPr>
    </w:p>
    <w:p w14:paraId="5DE82964">
      <w:pPr>
        <w:spacing w:beforeLines="0" w:afterLines="0"/>
        <w:rPr>
          <w:rFonts w:hint="eastAsia" w:ascii="Times New Roman" w:hAnsi="Times New Roman" w:eastAsia="黑体"/>
          <w:color w:val="auto"/>
          <w:sz w:val="24"/>
          <w:szCs w:val="24"/>
        </w:rPr>
      </w:pPr>
    </w:p>
    <w:p w14:paraId="36F63414">
      <w:pPr>
        <w:spacing w:beforeLines="0" w:afterLines="0"/>
        <w:rPr>
          <w:rFonts w:hint="eastAsia" w:ascii="Times New Roman" w:hAnsi="Times New Roman" w:eastAsia="黑体"/>
          <w:color w:val="auto"/>
          <w:sz w:val="24"/>
          <w:szCs w:val="24"/>
        </w:rPr>
      </w:pPr>
    </w:p>
    <w:p w14:paraId="6B6BC34C">
      <w:pPr>
        <w:spacing w:beforeLines="0" w:afterLines="0"/>
        <w:rPr>
          <w:rFonts w:hint="eastAsia" w:ascii="Times New Roman" w:hAnsi="Times New Roman" w:eastAsia="黑体"/>
          <w:color w:val="auto"/>
          <w:sz w:val="24"/>
          <w:szCs w:val="24"/>
        </w:rPr>
      </w:pPr>
    </w:p>
    <w:p w14:paraId="6AC21284">
      <w:pPr>
        <w:spacing w:beforeLines="0" w:afterLines="0"/>
        <w:rPr>
          <w:rFonts w:hint="eastAsia" w:ascii="Times New Roman" w:hAnsi="Times New Roman" w:eastAsia="黑体"/>
          <w:color w:val="auto"/>
          <w:sz w:val="24"/>
          <w:szCs w:val="24"/>
        </w:rPr>
      </w:pPr>
    </w:p>
    <w:p w14:paraId="70705FCB">
      <w:pPr>
        <w:spacing w:beforeLines="0" w:afterLines="0"/>
        <w:rPr>
          <w:rFonts w:hint="eastAsia" w:ascii="Times New Roman" w:hAnsi="Times New Roman" w:eastAsia="黑体"/>
          <w:color w:val="auto"/>
          <w:sz w:val="24"/>
          <w:szCs w:val="24"/>
        </w:rPr>
      </w:pPr>
    </w:p>
    <w:p w14:paraId="1AEEA68C">
      <w:pPr>
        <w:spacing w:beforeLines="0" w:afterLines="0"/>
        <w:rPr>
          <w:rFonts w:hint="eastAsia" w:ascii="Times New Roman" w:hAnsi="Times New Roman" w:eastAsia="黑体"/>
          <w:color w:val="auto"/>
          <w:sz w:val="24"/>
          <w:szCs w:val="24"/>
        </w:rPr>
      </w:pPr>
    </w:p>
    <w:p w14:paraId="7AC3AC0C">
      <w:pPr>
        <w:spacing w:beforeLines="0" w:afterLines="0"/>
        <w:rPr>
          <w:rFonts w:hint="eastAsia" w:ascii="Times New Roman" w:hAnsi="Times New Roman" w:eastAsia="黑体"/>
          <w:color w:val="auto"/>
          <w:sz w:val="24"/>
          <w:szCs w:val="24"/>
        </w:rPr>
      </w:pPr>
    </w:p>
    <w:p w14:paraId="74EAD1FB">
      <w:pPr>
        <w:spacing w:beforeLines="0" w:afterLines="0"/>
        <w:rPr>
          <w:rFonts w:hint="eastAsia" w:ascii="Times New Roman" w:hAnsi="Times New Roman" w:eastAsia="黑体"/>
          <w:color w:val="auto"/>
          <w:sz w:val="24"/>
          <w:szCs w:val="24"/>
        </w:rPr>
      </w:pPr>
    </w:p>
    <w:p w14:paraId="36BF97ED">
      <w:pPr>
        <w:spacing w:beforeLines="0" w:afterLines="0"/>
        <w:rPr>
          <w:rFonts w:hint="eastAsia" w:ascii="Times New Roman" w:hAnsi="Times New Roman" w:eastAsia="黑体"/>
          <w:color w:val="auto"/>
          <w:sz w:val="24"/>
          <w:szCs w:val="24"/>
        </w:rPr>
      </w:pPr>
    </w:p>
    <w:p w14:paraId="208B175B">
      <w:pPr>
        <w:spacing w:beforeLines="0" w:afterLines="0"/>
        <w:rPr>
          <w:rFonts w:hint="eastAsia" w:ascii="Times New Roman" w:hAnsi="Times New Roman" w:eastAsia="黑体"/>
          <w:color w:val="auto"/>
          <w:sz w:val="24"/>
          <w:szCs w:val="24"/>
        </w:rPr>
      </w:pPr>
    </w:p>
    <w:p w14:paraId="4CF15447">
      <w:pPr>
        <w:spacing w:beforeLines="0" w:afterLines="0"/>
        <w:rPr>
          <w:rFonts w:hint="eastAsia" w:ascii="Times New Roman" w:hAnsi="Times New Roman" w:eastAsia="黑体"/>
          <w:color w:val="auto"/>
          <w:sz w:val="24"/>
          <w:szCs w:val="24"/>
        </w:rPr>
      </w:pPr>
    </w:p>
    <w:p w14:paraId="05DF46C1">
      <w:pPr>
        <w:spacing w:beforeLines="0" w:afterLines="0"/>
        <w:rPr>
          <w:rFonts w:hint="eastAsia" w:ascii="Times New Roman" w:hAnsi="Times New Roman" w:eastAsia="黑体"/>
          <w:color w:val="auto"/>
          <w:sz w:val="24"/>
          <w:szCs w:val="24"/>
        </w:rPr>
      </w:pPr>
    </w:p>
    <w:p w14:paraId="46278948">
      <w:pPr>
        <w:spacing w:beforeLines="0" w:afterLines="0"/>
        <w:rPr>
          <w:rFonts w:hint="eastAsia" w:ascii="Times New Roman" w:hAnsi="Times New Roman" w:eastAsia="黑体"/>
          <w:color w:val="auto"/>
          <w:sz w:val="24"/>
          <w:szCs w:val="24"/>
        </w:rPr>
      </w:pPr>
    </w:p>
    <w:p w14:paraId="03AD4DA8">
      <w:pPr>
        <w:spacing w:beforeLines="0" w:afterLines="0"/>
        <w:rPr>
          <w:rFonts w:hint="default" w:ascii="Times New Roman" w:hAnsi="Times New Roman" w:eastAsia="黑体"/>
          <w:color w:val="auto"/>
          <w:sz w:val="24"/>
          <w:szCs w:val="24"/>
        </w:rPr>
      </w:pPr>
    </w:p>
    <w:p w14:paraId="5B6F82CC">
      <w:pPr>
        <w:spacing w:beforeLines="0" w:afterLines="0" w:line="360" w:lineRule="auto"/>
        <w:jc w:val="center"/>
        <w:rPr>
          <w:rFonts w:hint="eastAsia" w:ascii="宋体" w:hAnsi="宋体"/>
          <w:b/>
          <w:color w:val="auto"/>
          <w:sz w:val="21"/>
          <w:szCs w:val="24"/>
        </w:rPr>
      </w:pPr>
      <w:r>
        <w:rPr>
          <w:rFonts w:hint="eastAsia" w:ascii="宋体" w:hAnsi="宋体"/>
          <w:b/>
          <w:color w:val="auto"/>
          <w:sz w:val="21"/>
          <w:szCs w:val="24"/>
        </w:rPr>
        <w:t>A．报价说明</w:t>
      </w:r>
    </w:p>
    <w:p w14:paraId="50520609">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1．本采购清单应与采购文件、合同条款等文件结合起来查阅与理解。</w:t>
      </w:r>
    </w:p>
    <w:p w14:paraId="5BE98AC2">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2．响应人在采购清单报价表中填写的综合单价应为响应人按照采购文件要求完成该项目全部服务内容的费用，包括：报价包含了响应人的货物费、人工费、材料费、机械费、运输费、</w:t>
      </w:r>
      <w:r>
        <w:rPr>
          <w:rFonts w:hint="eastAsia" w:ascii="宋体" w:hAnsi="宋体"/>
          <w:color w:val="auto"/>
          <w:sz w:val="21"/>
          <w:szCs w:val="21"/>
          <w:lang w:val="en-US" w:eastAsia="zh-CN"/>
        </w:rPr>
        <w:t>卸货费、</w:t>
      </w:r>
      <w:r>
        <w:rPr>
          <w:rFonts w:hint="eastAsia" w:ascii="宋体" w:hAnsi="宋体"/>
          <w:color w:val="auto"/>
          <w:sz w:val="21"/>
          <w:szCs w:val="21"/>
        </w:rPr>
        <w:t>管理费、利润、风险、报检等所有费用，在合同履行期间不得以任何理由提出综合单价变更的请求。</w:t>
      </w:r>
    </w:p>
    <w:p w14:paraId="57F8079F">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3.采购清单报价表中综合单价在合同履行期间不调整。</w:t>
      </w:r>
    </w:p>
    <w:p w14:paraId="13A3AA33">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4.采购清单中的各项费用货币单位均为人民币(元)。</w:t>
      </w:r>
    </w:p>
    <w:p w14:paraId="360519C7">
      <w:pPr>
        <w:adjustRightInd w:val="0"/>
        <w:snapToGrid w:val="0"/>
        <w:spacing w:beforeLines="0" w:afterLines="0" w:line="360" w:lineRule="auto"/>
        <w:ind w:firstLine="420" w:firstLineChars="200"/>
        <w:rPr>
          <w:rFonts w:hint="eastAsia" w:ascii="宋体" w:hAnsi="宋体"/>
          <w:color w:val="auto"/>
          <w:sz w:val="21"/>
          <w:szCs w:val="21"/>
        </w:rPr>
      </w:pPr>
    </w:p>
    <w:p w14:paraId="302D085A">
      <w:pPr>
        <w:spacing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2D8B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5AEF1">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序号</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43F2C">
            <w:pPr>
              <w:pStyle w:val="17"/>
              <w:keepNext w:val="0"/>
              <w:keepLines w:val="0"/>
              <w:widowControl w:val="0"/>
              <w:suppressLineNumbers w:val="0"/>
              <w:spacing w:after="120" w:afterAutospacing="0"/>
              <w:ind w:left="0" w:right="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EEBB0">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90688">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备注</w:t>
            </w:r>
          </w:p>
        </w:tc>
      </w:tr>
      <w:tr w14:paraId="77F2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9B057">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1</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5C40D">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合计</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8796C">
            <w:pPr>
              <w:pStyle w:val="17"/>
              <w:keepNext w:val="0"/>
              <w:keepLines w:val="0"/>
              <w:widowControl w:val="0"/>
              <w:suppressLineNumbers w:val="0"/>
              <w:spacing w:after="120" w:afterAutospacing="0"/>
              <w:ind w:left="0" w:right="0"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866CC">
            <w:pPr>
              <w:pStyle w:val="17"/>
              <w:keepNext w:val="0"/>
              <w:keepLines w:val="0"/>
              <w:widowControl w:val="0"/>
              <w:suppressLineNumbers w:val="0"/>
              <w:spacing w:after="120" w:afterAutospacing="0"/>
              <w:ind w:left="0" w:right="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4A82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B7B8DF">
            <w:pPr>
              <w:pStyle w:val="17"/>
              <w:keepNext w:val="0"/>
              <w:keepLines w:val="0"/>
              <w:widowControl w:val="0"/>
              <w:suppressLineNumbers w:val="0"/>
              <w:spacing w:after="120" w:afterAutospacing="0"/>
              <w:ind w:left="420" w:leftChars="200" w:right="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40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8E6343">
            <w:pPr>
              <w:pStyle w:val="17"/>
              <w:keepNext w:val="0"/>
              <w:keepLines w:val="0"/>
              <w:widowControl w:val="0"/>
              <w:suppressLineNumbers w:val="0"/>
              <w:spacing w:after="120" w:afterAutospacing="0"/>
              <w:ind w:left="0" w:right="0"/>
              <w:rPr>
                <w:rFonts w:hint="eastAsia"/>
                <w:color w:val="auto"/>
                <w:kern w:val="2"/>
                <w:sz w:val="21"/>
                <w:szCs w:val="21"/>
              </w:rPr>
            </w:pPr>
            <w:r>
              <w:rPr>
                <w:rFonts w:hint="eastAsia"/>
                <w:color w:val="auto"/>
                <w:kern w:val="2"/>
                <w:sz w:val="21"/>
                <w:szCs w:val="21"/>
              </w:rPr>
              <w:t>大写：</w:t>
            </w:r>
          </w:p>
        </w:tc>
      </w:tr>
    </w:tbl>
    <w:p w14:paraId="1232E702">
      <w:pPr>
        <w:pStyle w:val="17"/>
        <w:widowControl w:val="0"/>
        <w:spacing w:after="12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6ACEEDE6">
      <w:pPr>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49D81525">
      <w:pPr>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3D728799">
      <w:pPr>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65B20D74">
      <w:pPr>
        <w:pStyle w:val="17"/>
        <w:widowControl w:val="0"/>
        <w:spacing w:after="12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6DD6B003">
      <w:pPr>
        <w:spacing w:beforeLines="0" w:afterLines="0" w:line="360" w:lineRule="auto"/>
        <w:jc w:val="left"/>
        <w:rPr>
          <w:rFonts w:hint="eastAsia" w:ascii="宋体" w:hAnsi="宋体"/>
          <w:b/>
          <w:color w:val="auto"/>
          <w:sz w:val="21"/>
          <w:szCs w:val="24"/>
        </w:rPr>
      </w:pPr>
    </w:p>
    <w:p w14:paraId="284B8586">
      <w:pPr>
        <w:spacing w:beforeLines="0" w:afterLines="0" w:line="360" w:lineRule="auto"/>
        <w:jc w:val="left"/>
        <w:rPr>
          <w:rFonts w:hint="eastAsia" w:ascii="宋体" w:hAnsi="宋体"/>
          <w:b/>
          <w:color w:val="auto"/>
          <w:sz w:val="21"/>
          <w:szCs w:val="24"/>
        </w:rPr>
      </w:pPr>
    </w:p>
    <w:p w14:paraId="52517AF0">
      <w:pPr>
        <w:spacing w:beforeLines="0" w:afterLines="0" w:line="360" w:lineRule="auto"/>
        <w:jc w:val="left"/>
        <w:rPr>
          <w:rFonts w:hint="eastAsia" w:ascii="宋体" w:hAnsi="宋体"/>
          <w:b/>
          <w:color w:val="auto"/>
          <w:sz w:val="21"/>
          <w:szCs w:val="24"/>
        </w:rPr>
      </w:pPr>
    </w:p>
    <w:p w14:paraId="7E9EB59A">
      <w:pPr>
        <w:spacing w:beforeLines="0" w:afterLines="0" w:line="360" w:lineRule="auto"/>
        <w:jc w:val="left"/>
        <w:rPr>
          <w:rFonts w:hint="eastAsia" w:ascii="宋体" w:hAnsi="宋体"/>
          <w:b/>
          <w:color w:val="auto"/>
          <w:sz w:val="21"/>
          <w:szCs w:val="24"/>
        </w:rPr>
      </w:pPr>
    </w:p>
    <w:p w14:paraId="48387179">
      <w:pPr>
        <w:spacing w:beforeLines="0" w:afterLines="0" w:line="360" w:lineRule="auto"/>
        <w:jc w:val="left"/>
        <w:rPr>
          <w:rFonts w:hint="eastAsia" w:ascii="宋体" w:hAnsi="宋体"/>
          <w:b/>
          <w:color w:val="auto"/>
          <w:sz w:val="21"/>
          <w:szCs w:val="24"/>
        </w:rPr>
      </w:pPr>
    </w:p>
    <w:p w14:paraId="17420CEC">
      <w:pPr>
        <w:spacing w:beforeLines="0" w:afterLines="0" w:line="360" w:lineRule="auto"/>
        <w:jc w:val="left"/>
        <w:rPr>
          <w:rFonts w:hint="eastAsia" w:ascii="宋体" w:hAnsi="宋体"/>
          <w:b/>
          <w:color w:val="auto"/>
          <w:sz w:val="21"/>
          <w:szCs w:val="24"/>
        </w:rPr>
      </w:pPr>
    </w:p>
    <w:p w14:paraId="3E2F791A">
      <w:pPr>
        <w:spacing w:beforeLines="0" w:afterLines="0" w:line="360" w:lineRule="auto"/>
        <w:jc w:val="left"/>
        <w:rPr>
          <w:rFonts w:hint="eastAsia" w:ascii="宋体" w:hAnsi="宋体"/>
          <w:b/>
          <w:color w:val="auto"/>
          <w:sz w:val="21"/>
          <w:szCs w:val="24"/>
        </w:rPr>
      </w:pPr>
    </w:p>
    <w:p w14:paraId="5B5B5B48">
      <w:pPr>
        <w:spacing w:beforeLines="0" w:afterLines="0" w:line="360" w:lineRule="auto"/>
        <w:jc w:val="left"/>
        <w:rPr>
          <w:rFonts w:hint="eastAsia" w:ascii="宋体" w:hAnsi="宋体"/>
          <w:b/>
          <w:color w:val="auto"/>
          <w:sz w:val="21"/>
          <w:szCs w:val="24"/>
        </w:rPr>
      </w:pPr>
    </w:p>
    <w:p w14:paraId="1B519F26">
      <w:pPr>
        <w:pStyle w:val="19"/>
        <w:widowControl/>
        <w:spacing w:after="0" w:line="440" w:lineRule="exact"/>
        <w:rPr>
          <w:rFonts w:hint="eastAsia" w:ascii="宋体" w:hAnsi="宋体"/>
          <w:color w:val="auto"/>
          <w:sz w:val="21"/>
          <w:szCs w:val="21"/>
        </w:rPr>
      </w:pPr>
      <w:r>
        <w:rPr>
          <w:rFonts w:hint="eastAsia" w:ascii="宋体" w:hAnsi="宋体"/>
          <w:b/>
          <w:color w:val="auto"/>
          <w:sz w:val="21"/>
          <w:szCs w:val="21"/>
        </w:rPr>
        <w:t xml:space="preserve"> 备注：</w:t>
      </w:r>
      <w:r>
        <w:rPr>
          <w:rFonts w:hint="eastAsia" w:ascii="宋体" w:hAnsi="宋体"/>
          <w:color w:val="auto"/>
          <w:sz w:val="21"/>
          <w:szCs w:val="21"/>
        </w:rPr>
        <w:t>1.上述费用包括货物的原材料、生产、包装、运输、保险、</w:t>
      </w:r>
      <w:r>
        <w:rPr>
          <w:rFonts w:hint="eastAsia" w:ascii="宋体" w:hAnsi="宋体"/>
          <w:color w:val="auto"/>
          <w:sz w:val="21"/>
          <w:szCs w:val="21"/>
          <w:lang w:val="en-US" w:eastAsia="zh-CN"/>
        </w:rPr>
        <w:t>卸货</w:t>
      </w:r>
      <w:r>
        <w:rPr>
          <w:rFonts w:hint="eastAsia" w:ascii="宋体" w:hAnsi="宋体"/>
          <w:color w:val="auto"/>
          <w:sz w:val="21"/>
          <w:szCs w:val="21"/>
        </w:rPr>
        <w:t>叉车费（如有）、人工费、卸车费、利润、税费等相关费用。</w:t>
      </w:r>
    </w:p>
    <w:p w14:paraId="3201A110">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2.最终结算以实际供货数量为准，送货时附带相关检测报告。</w:t>
      </w:r>
    </w:p>
    <w:p w14:paraId="478D2DEB">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color w:val="auto"/>
          <w:sz w:val="21"/>
          <w:szCs w:val="21"/>
        </w:rPr>
        <w:t>第三方复试费用均由供应商承担（含检测样品），抽检频率和批次按国家、行业标准或甲方要求执行。</w:t>
      </w:r>
    </w:p>
    <w:p w14:paraId="3D87267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供应货物</w:t>
      </w:r>
      <w:r>
        <w:rPr>
          <w:rFonts w:hint="eastAsia" w:ascii="宋体" w:hAnsi="宋体"/>
          <w:color w:val="auto"/>
          <w:sz w:val="21"/>
          <w:szCs w:val="21"/>
        </w:rPr>
        <w:t>须在包装外壁醒目位置上永久性标示生产厂家、生产批次、品牌标志、规格型号、唯一性可追溯性编码标识（如二维码）等信息。</w:t>
      </w:r>
    </w:p>
    <w:p w14:paraId="5E5DB2A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val="en-US" w:eastAsia="zh-CN"/>
        </w:rPr>
        <w:t>供应货物的</w:t>
      </w:r>
      <w:r>
        <w:rPr>
          <w:rFonts w:hint="eastAsia" w:ascii="宋体" w:hAnsi="宋体"/>
          <w:color w:val="auto"/>
          <w:sz w:val="21"/>
          <w:szCs w:val="21"/>
        </w:rPr>
        <w:t>供货进度应满足采购人工程进度分批次实施的安排和要求，</w:t>
      </w:r>
      <w:r>
        <w:rPr>
          <w:rFonts w:hint="eastAsia" w:ascii="宋体" w:hAnsi="宋体"/>
          <w:color w:val="auto"/>
          <w:sz w:val="21"/>
          <w:szCs w:val="21"/>
          <w:lang w:val="en-US" w:eastAsia="zh-CN"/>
        </w:rPr>
        <w:t>成交候选人</w:t>
      </w:r>
      <w:r>
        <w:rPr>
          <w:rFonts w:hint="eastAsia" w:ascii="宋体" w:hAnsi="宋体"/>
          <w:color w:val="auto"/>
          <w:sz w:val="21"/>
          <w:szCs w:val="21"/>
        </w:rPr>
        <w:t>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采购、进场工作，并承担因送货次数增加而引起的运输成本增加等相应风险。</w:t>
      </w:r>
    </w:p>
    <w:p w14:paraId="1A784777">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val="en-US" w:eastAsia="zh-CN"/>
        </w:rPr>
        <w:t>成交候选人</w:t>
      </w:r>
      <w:r>
        <w:rPr>
          <w:rFonts w:hint="eastAsia" w:ascii="宋体" w:hAnsi="宋体"/>
          <w:color w:val="auto"/>
          <w:sz w:val="21"/>
          <w:szCs w:val="21"/>
        </w:rPr>
        <w:t>对提供的</w:t>
      </w:r>
      <w:r>
        <w:rPr>
          <w:rFonts w:hint="eastAsia" w:ascii="宋体" w:hAnsi="宋体"/>
          <w:color w:val="auto"/>
          <w:sz w:val="21"/>
          <w:szCs w:val="21"/>
          <w:lang w:val="en-US" w:eastAsia="zh-CN"/>
        </w:rPr>
        <w:t>供应货物的</w:t>
      </w:r>
      <w:r>
        <w:rPr>
          <w:rFonts w:hint="eastAsia" w:ascii="宋体" w:hAnsi="宋体"/>
          <w:color w:val="auto"/>
          <w:sz w:val="21"/>
          <w:szCs w:val="21"/>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color w:val="auto"/>
          <w:sz w:val="21"/>
          <w:szCs w:val="21"/>
        </w:rPr>
        <w:t>质量问题，将视作违约，</w:t>
      </w:r>
      <w:r>
        <w:rPr>
          <w:rFonts w:hint="eastAsia" w:ascii="宋体" w:hAnsi="宋体"/>
          <w:color w:val="auto"/>
          <w:sz w:val="21"/>
          <w:szCs w:val="21"/>
          <w:lang w:val="en-US" w:eastAsia="zh-CN"/>
        </w:rPr>
        <w:t>成交候选人</w:t>
      </w:r>
      <w:r>
        <w:rPr>
          <w:rFonts w:hint="eastAsia" w:ascii="宋体" w:hAnsi="宋体"/>
          <w:color w:val="auto"/>
          <w:sz w:val="21"/>
          <w:szCs w:val="21"/>
        </w:rPr>
        <w:t>须赔偿由此造成返工的全部工程建设费用及其他一切损失，同时由采购人追究</w:t>
      </w:r>
      <w:r>
        <w:rPr>
          <w:rFonts w:hint="eastAsia" w:ascii="宋体" w:hAnsi="宋体"/>
          <w:color w:val="auto"/>
          <w:sz w:val="21"/>
          <w:szCs w:val="21"/>
          <w:lang w:val="en-US" w:eastAsia="zh-CN"/>
        </w:rPr>
        <w:t>成交候选人</w:t>
      </w:r>
      <w:r>
        <w:rPr>
          <w:rFonts w:hint="eastAsia" w:ascii="宋体" w:hAnsi="宋体"/>
          <w:color w:val="auto"/>
          <w:sz w:val="21"/>
          <w:szCs w:val="21"/>
        </w:rPr>
        <w:t>的违约责任，情节严重的，依法追究相关责任。</w:t>
      </w:r>
    </w:p>
    <w:p w14:paraId="73111F31">
      <w:pPr>
        <w:spacing w:beforeLines="0" w:afterLines="0" w:line="360" w:lineRule="auto"/>
        <w:jc w:val="left"/>
        <w:rPr>
          <w:rFonts w:hint="eastAsia" w:ascii="宋体" w:hAnsi="宋体"/>
          <w:b/>
          <w:color w:val="auto"/>
          <w:sz w:val="21"/>
          <w:szCs w:val="24"/>
        </w:rPr>
        <w:sectPr>
          <w:headerReference r:id="rId7" w:type="default"/>
          <w:footerReference r:id="rId8" w:type="default"/>
          <w:pgSz w:w="11906" w:h="16838"/>
          <w:pgMar w:top="1440" w:right="1800" w:bottom="1440" w:left="1800" w:header="851" w:footer="992" w:gutter="0"/>
          <w:lnNumType w:countBy="0" w:distance="360"/>
          <w:pgNumType w:fmt="decimal"/>
          <w:cols w:space="720" w:num="1"/>
          <w:docGrid w:type="lines" w:linePitch="312" w:charSpace="0"/>
        </w:sectPr>
      </w:pPr>
    </w:p>
    <w:p w14:paraId="7DDAE56D">
      <w:pPr>
        <w:spacing w:beforeLines="0" w:afterLines="0" w:line="440" w:lineRule="exact"/>
        <w:jc w:val="center"/>
        <w:outlineLvl w:val="1"/>
        <w:rPr>
          <w:rFonts w:hint="default" w:ascii="Times New Roman" w:hAnsi="Times New Roman" w:eastAsia="黑体"/>
          <w:color w:val="auto"/>
          <w:sz w:val="28"/>
          <w:szCs w:val="28"/>
        </w:rPr>
      </w:pPr>
      <w:bookmarkStart w:id="122" w:name="_Toc22419_WPSOffice_Level1"/>
      <w:bookmarkStart w:id="123" w:name="_Toc19774_WPSOffice_Level1"/>
      <w:r>
        <w:rPr>
          <w:rFonts w:hint="eastAsia" w:ascii="Times New Roman" w:hAnsi="Times New Roman" w:eastAsia="黑体"/>
          <w:color w:val="auto"/>
          <w:sz w:val="28"/>
          <w:szCs w:val="28"/>
        </w:rPr>
        <w:t>四、</w:t>
      </w:r>
      <w:bookmarkStart w:id="124" w:name="_Toc803_WPSOffice_Level2"/>
      <w:bookmarkStart w:id="125" w:name="_Toc25374_WPSOffice_Level2"/>
      <w:r>
        <w:rPr>
          <w:rFonts w:hint="eastAsia" w:ascii="Times New Roman" w:hAnsi="Times New Roman" w:eastAsia="黑体"/>
          <w:color w:val="auto"/>
          <w:sz w:val="28"/>
          <w:szCs w:val="28"/>
        </w:rPr>
        <w:t>供应商基本情况</w:t>
      </w:r>
      <w:bookmarkEnd w:id="122"/>
      <w:bookmarkEnd w:id="123"/>
      <w:bookmarkEnd w:id="124"/>
      <w:bookmarkEnd w:id="125"/>
    </w:p>
    <w:p w14:paraId="5EB40DFF">
      <w:pPr>
        <w:topLinePunct/>
        <w:spacing w:beforeLines="0" w:afterLines="0" w:line="440" w:lineRule="exact"/>
        <w:jc w:val="center"/>
        <w:rPr>
          <w:rFonts w:hint="default" w:ascii="Times New Roman" w:hAnsi="Times New Roman"/>
          <w:color w:val="auto"/>
          <w:sz w:val="23"/>
          <w:szCs w:val="23"/>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649F3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B5EC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供应商名称</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FF4B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117B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717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注册地址</w:t>
            </w:r>
          </w:p>
        </w:tc>
        <w:tc>
          <w:tcPr>
            <w:tcW w:w="3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6B410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A45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D740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4FB9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75318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联系方式</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585F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联系人</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A7E8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783D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56BB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928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5DBA0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D207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职  务</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9007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B61E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电子邮箱</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546F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AF44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21B1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法定代表人</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A0DF0A">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F03A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8C39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企业资质等级</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1E29D4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3709C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2CCA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0F2A2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p w14:paraId="28E4510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p w14:paraId="3690A786">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0913D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1E25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3D7D1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bl>
    <w:p w14:paraId="760C75D6">
      <w:pPr>
        <w:widowControl/>
        <w:autoSpaceDE w:val="0"/>
        <w:autoSpaceDN w:val="0"/>
        <w:spacing w:beforeLines="0" w:afterLines="0" w:line="360" w:lineRule="atLeast"/>
        <w:ind w:left="180"/>
        <w:textAlignment w:val="bottom"/>
        <w:rPr>
          <w:rFonts w:hint="default" w:ascii="Times New Roman" w:hAnsi="Times New Roman"/>
          <w:color w:val="auto"/>
          <w:sz w:val="20"/>
          <w:szCs w:val="20"/>
        </w:rPr>
      </w:pPr>
      <w:r>
        <w:rPr>
          <w:rFonts w:hint="eastAsia" w:ascii="Times New Roman" w:hAnsi="Times New Roman" w:eastAsia="黑体"/>
          <w:color w:val="auto"/>
          <w:sz w:val="21"/>
          <w:szCs w:val="21"/>
        </w:rPr>
        <w:t>注：</w:t>
      </w:r>
    </w:p>
    <w:p w14:paraId="0C4EFDF7">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在本表后应附企业法人营业执照（事业单位法人证书，如有）、资质证书（如有）及资格审查要求的其他证件复印件。</w:t>
      </w:r>
    </w:p>
    <w:p w14:paraId="034162D5">
      <w:pPr>
        <w:tabs>
          <w:tab w:val="left" w:pos="3060"/>
        </w:tabs>
        <w:topLinePunct/>
        <w:spacing w:beforeLines="0" w:afterLines="0" w:line="440" w:lineRule="exact"/>
        <w:jc w:val="center"/>
        <w:rPr>
          <w:rFonts w:hint="default" w:ascii="Times New Roman" w:hAnsi="Times New Roman" w:eastAsia="黑体"/>
          <w:color w:val="auto"/>
          <w:sz w:val="28"/>
          <w:szCs w:val="28"/>
        </w:rPr>
      </w:pPr>
      <w:bookmarkStart w:id="126" w:name="_Toc26594_WPSOffice_Level1"/>
      <w:bookmarkStart w:id="127" w:name="_Toc27376_WPSOffice_Level1"/>
      <w:bookmarkStart w:id="128" w:name="_Toc5889_WPSOffice_Level1"/>
      <w:bookmarkStart w:id="129" w:name="_Toc27072_WPSOffice_Level1"/>
      <w:r>
        <w:rPr>
          <w:rFonts w:hint="eastAsia" w:ascii="Times New Roman" w:hAnsi="Times New Roman" w:eastAsia="黑体"/>
          <w:color w:val="auto"/>
          <w:sz w:val="28"/>
          <w:szCs w:val="28"/>
        </w:rPr>
        <w:br w:type="page"/>
      </w:r>
      <w:r>
        <w:rPr>
          <w:rFonts w:hint="eastAsia" w:ascii="Times New Roman" w:hAnsi="Times New Roman" w:eastAsia="黑体"/>
          <w:color w:val="auto"/>
          <w:sz w:val="28"/>
          <w:szCs w:val="28"/>
        </w:rPr>
        <w:t>五、业绩情况</w:t>
      </w:r>
    </w:p>
    <w:p w14:paraId="2DFAF9EA">
      <w:pPr>
        <w:tabs>
          <w:tab w:val="left" w:pos="3060"/>
        </w:tabs>
        <w:topLinePunct/>
        <w:spacing w:beforeLines="0" w:afterLines="0" w:line="440" w:lineRule="exact"/>
        <w:jc w:val="center"/>
        <w:rPr>
          <w:rFonts w:hint="default" w:ascii="Times New Roman" w:hAnsi="Times New Roman" w:eastAsia="黑体"/>
          <w:color w:val="auto"/>
          <w:sz w:val="28"/>
          <w:szCs w:val="28"/>
        </w:rPr>
      </w:pPr>
    </w:p>
    <w:tbl>
      <w:tblPr>
        <w:tblStyle w:val="21"/>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5899"/>
      </w:tblGrid>
      <w:tr w14:paraId="0A75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42DD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项目名称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7B16C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12BA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4C0F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B44246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7C1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F113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业主代表姓名</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117AFAE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203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67B6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业主代表电话</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2F1BE9B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47D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8B55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合同价格</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616B500A">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381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F498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供货内容描述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E3F58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6B5B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EA549">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016B1D">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3E5F6961">
      <w:pPr>
        <w:widowControl/>
        <w:autoSpaceDE w:val="0"/>
        <w:autoSpaceDN w:val="0"/>
        <w:spacing w:beforeLines="0" w:afterLines="0" w:line="360" w:lineRule="atLeast"/>
        <w:ind w:left="418" w:hanging="418" w:hangingChars="209"/>
        <w:textAlignment w:val="bottom"/>
        <w:rPr>
          <w:rFonts w:hint="default" w:ascii="Times New Roman" w:hAnsi="Times New Roman" w:eastAsia="黑体"/>
          <w:color w:val="auto"/>
          <w:sz w:val="21"/>
          <w:szCs w:val="21"/>
        </w:rPr>
      </w:pPr>
      <w:r>
        <w:rPr>
          <w:rFonts w:hint="eastAsia" w:ascii="Times New Roman" w:hAnsi="Times New Roman" w:eastAsia="黑体"/>
          <w:color w:val="auto"/>
          <w:sz w:val="20"/>
          <w:szCs w:val="20"/>
        </w:rPr>
        <w:t>注：</w:t>
      </w:r>
    </w:p>
    <w:p w14:paraId="3AF1A2EB">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1、每张表格只填写一个项目，并标明序号。</w:t>
      </w:r>
    </w:p>
    <w:p w14:paraId="7ED23274">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2、业绩证明材料要求：_</w:t>
      </w:r>
      <w:r>
        <w:rPr>
          <w:rFonts w:hint="eastAsia" w:ascii="Times New Roman" w:hAnsi="Times New Roman" w:eastAsia="黑体"/>
          <w:color w:val="auto"/>
          <w:sz w:val="21"/>
          <w:szCs w:val="21"/>
          <w:u w:val="single"/>
        </w:rPr>
        <w:t>满足前附表要求</w:t>
      </w:r>
      <w:r>
        <w:rPr>
          <w:rFonts w:hint="eastAsia" w:ascii="Times New Roman" w:hAnsi="Times New Roman" w:eastAsia="黑体"/>
          <w:color w:val="auto"/>
          <w:sz w:val="21"/>
          <w:szCs w:val="21"/>
        </w:rPr>
        <w:t>__。</w:t>
      </w:r>
    </w:p>
    <w:p w14:paraId="0830F561">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3、如近年来，供应商法人机构发生合法变更或重组或法人名称变更时，应提供相关部门的合法批件或其他相关证明材料来证明其所附业绩的继承性。</w:t>
      </w:r>
    </w:p>
    <w:p w14:paraId="3E0E8DFC">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41B1E9C9">
      <w:pPr>
        <w:pStyle w:val="8"/>
        <w:spacing w:beforeLines="0" w:afterLines="0"/>
        <w:rPr>
          <w:rFonts w:hint="default" w:eastAsia="黑体"/>
          <w:color w:val="auto"/>
          <w:sz w:val="21"/>
          <w:szCs w:val="24"/>
        </w:rPr>
      </w:pPr>
    </w:p>
    <w:p w14:paraId="731A9800">
      <w:pPr>
        <w:pStyle w:val="8"/>
        <w:spacing w:beforeLines="0" w:afterLines="0"/>
        <w:rPr>
          <w:rFonts w:hint="default" w:ascii="Times New Roman" w:hAnsi="Times New Roman"/>
          <w:color w:val="auto"/>
          <w:sz w:val="21"/>
          <w:szCs w:val="24"/>
        </w:rPr>
      </w:pPr>
    </w:p>
    <w:p w14:paraId="6868D079">
      <w:pPr>
        <w:topLinePunct/>
        <w:spacing w:beforeLines="0" w:afterLines="0" w:line="340" w:lineRule="atLeast"/>
        <w:jc w:val="center"/>
        <w:rPr>
          <w:rFonts w:hint="default" w:ascii="Times New Roman" w:hAnsi="Times New Roman" w:eastAsia="黑体"/>
          <w:color w:val="auto"/>
          <w:sz w:val="24"/>
          <w:szCs w:val="24"/>
        </w:rPr>
      </w:pPr>
      <w:r>
        <w:rPr>
          <w:rFonts w:hint="default" w:ascii="Times New Roman" w:hAnsi="Times New Roman" w:eastAsia="黑体"/>
          <w:color w:val="auto"/>
          <w:sz w:val="28"/>
          <w:szCs w:val="28"/>
        </w:rPr>
        <w:br w:type="page"/>
      </w:r>
    </w:p>
    <w:p w14:paraId="08C07709">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六、信誉情况</w:t>
      </w:r>
      <w:bookmarkEnd w:id="126"/>
      <w:bookmarkEnd w:id="127"/>
      <w:bookmarkEnd w:id="128"/>
      <w:bookmarkEnd w:id="129"/>
    </w:p>
    <w:p w14:paraId="482B5032">
      <w:pPr>
        <w:topLinePunct/>
        <w:spacing w:beforeLines="0" w:afterLines="0" w:line="440" w:lineRule="exact"/>
        <w:rPr>
          <w:rFonts w:hint="default" w:ascii="Times New Roman" w:hAnsi="Times New Roman"/>
          <w:color w:val="auto"/>
          <w:sz w:val="23"/>
          <w:szCs w:val="23"/>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9FE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B207A4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 目</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C849B1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供应商情况说明</w:t>
            </w:r>
          </w:p>
        </w:tc>
      </w:tr>
      <w:tr w14:paraId="55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E3E73">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是否被责令停业，暂扣或吊销执照，或吊销资质证书</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2402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eastAsia="黑体"/>
                <w:color w:val="auto"/>
                <w:sz w:val="21"/>
                <w:szCs w:val="21"/>
              </w:rPr>
            </w:pPr>
          </w:p>
        </w:tc>
      </w:tr>
      <w:tr w14:paraId="2B2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D720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是否进入清算程序，或被宣告破产，或其他丧失履约能力的情形</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2162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A1F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D2250">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是否在国家企业信用信息公示系统（www.gsxt.gov.cn）中被列入严重违法失信企业名单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B834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6D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51D48">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是否在“信用中国”网站（www.creditchina.gov.cn）中被列入失信被执行人名单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668E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11B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459B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是否在近三年内（自响应文件递交截止之日向前追溯3年）供应商或其法定代表人、拟委任的项目经理（如有）有行贿犯罪行为</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4E19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10C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A0C7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4"/>
                <w:szCs w:val="28"/>
              </w:rPr>
            </w:pPr>
            <w:r>
              <w:rPr>
                <w:rFonts w:hint="default" w:ascii="Times New Roman" w:hAnsi="Times New Roman"/>
                <w:color w:val="auto"/>
                <w:sz w:val="24"/>
                <w:szCs w:val="28"/>
              </w:rPr>
              <w:t>……</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730B11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26A72A72">
      <w:pPr>
        <w:spacing w:beforeLines="0" w:afterLines="0" w:line="440" w:lineRule="exact"/>
        <w:jc w:val="left"/>
        <w:rPr>
          <w:rFonts w:hint="default" w:ascii="Times New Roman" w:hAnsi="Times New Roman"/>
          <w:color w:val="auto"/>
          <w:sz w:val="24"/>
          <w:szCs w:val="24"/>
        </w:rPr>
      </w:pPr>
      <w:r>
        <w:rPr>
          <w:rFonts w:hint="eastAsia" w:ascii="Times New Roman" w:hAnsi="Times New Roman"/>
          <w:color w:val="auto"/>
          <w:sz w:val="24"/>
          <w:szCs w:val="24"/>
        </w:rPr>
        <w:t>注：本表无需附证明材料，供应商应如实填写情况说明，如无以上内容，可在情况说明处填写无即可，如有弄虚作假行为，采购人保留对供应商依法依规处理的权利。</w:t>
      </w:r>
    </w:p>
    <w:p w14:paraId="77E17A5A">
      <w:pPr>
        <w:pStyle w:val="8"/>
        <w:spacing w:beforeLines="0" w:afterLines="0"/>
        <w:jc w:val="right"/>
        <w:rPr>
          <w:rFonts w:hint="default" w:ascii="Times New Roman" w:hAnsi="Times New Roman"/>
          <w:color w:val="auto"/>
          <w:sz w:val="24"/>
          <w:szCs w:val="24"/>
        </w:rPr>
      </w:pPr>
    </w:p>
    <w:p w14:paraId="31E224DC">
      <w:pPr>
        <w:spacing w:beforeLines="0" w:afterLines="0" w:line="440" w:lineRule="exact"/>
        <w:jc w:val="right"/>
        <w:rPr>
          <w:rFonts w:hint="default" w:ascii="Times New Roman" w:hAnsi="Times New Roman"/>
          <w:color w:val="auto"/>
          <w:sz w:val="24"/>
          <w:szCs w:val="24"/>
        </w:rPr>
      </w:pPr>
      <w:r>
        <w:rPr>
          <w:rFonts w:hint="default" w:ascii="Times New Roman" w:hAnsi="Times New Roman"/>
          <w:color w:val="auto"/>
          <w:sz w:val="24"/>
          <w:szCs w:val="24"/>
        </w:rPr>
        <w:t xml:space="preserve"> </w:t>
      </w:r>
      <w:r>
        <w:rPr>
          <w:rFonts w:hint="eastAsia" w:ascii="Times New Roman" w:hAnsi="Times New Roman"/>
          <w:color w:val="auto"/>
          <w:sz w:val="24"/>
          <w:szCs w:val="24"/>
        </w:rPr>
        <w:t>供应商：</w:t>
      </w:r>
      <w:r>
        <w:rPr>
          <w:rFonts w:hint="default" w:ascii="Times New Roman" w:hAnsi="Times New Roman"/>
          <w:color w:val="auto"/>
          <w:sz w:val="24"/>
          <w:szCs w:val="24"/>
          <w:u w:val="single"/>
        </w:rPr>
        <w:t xml:space="preserve">                 </w:t>
      </w:r>
      <w:r>
        <w:rPr>
          <w:rFonts w:hint="default" w:ascii="Times New Roman" w:hAnsi="Times New Roman"/>
          <w:color w:val="auto"/>
          <w:sz w:val="24"/>
          <w:szCs w:val="24"/>
        </w:rPr>
        <w:t>(</w:t>
      </w:r>
      <w:r>
        <w:rPr>
          <w:rFonts w:hint="eastAsia" w:ascii="Times New Roman" w:hAnsi="Times New Roman"/>
          <w:color w:val="auto"/>
          <w:sz w:val="24"/>
          <w:szCs w:val="24"/>
        </w:rPr>
        <w:t>盖单位章)</w:t>
      </w:r>
    </w:p>
    <w:p w14:paraId="690F9C8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color w:val="auto"/>
          <w:sz w:val="24"/>
          <w:szCs w:val="22"/>
          <w:u w:val="single"/>
        </w:rPr>
      </w:pPr>
    </w:p>
    <w:p w14:paraId="7E1DD25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eastAsia="黑体"/>
          <w:color w:val="auto"/>
          <w:sz w:val="28"/>
          <w:szCs w:val="28"/>
        </w:rPr>
      </w:pPr>
      <w:r>
        <w:rPr>
          <w:rFonts w:hint="eastAsia" w:ascii="Times New Roman" w:hAnsi="Times New Roman"/>
          <w:color w:val="auto"/>
          <w:sz w:val="24"/>
          <w:szCs w:val="22"/>
          <w:u w:val="single"/>
        </w:rPr>
        <w:t xml:space="preserve">      </w:t>
      </w:r>
      <w:r>
        <w:rPr>
          <w:rFonts w:hint="eastAsia" w:ascii="Times New Roman" w:hAnsi="Times New Roman"/>
          <w:color w:val="auto"/>
          <w:sz w:val="24"/>
          <w:szCs w:val="22"/>
        </w:rPr>
        <w:t xml:space="preserve">年 </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月</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日</w:t>
      </w:r>
    </w:p>
    <w:p w14:paraId="49B0632E">
      <w:pPr>
        <w:pStyle w:val="20"/>
        <w:tabs>
          <w:tab w:val="left" w:pos="1078"/>
          <w:tab w:val="left" w:pos="1176"/>
          <w:tab w:val="left" w:pos="1638"/>
          <w:tab w:val="left" w:pos="3920"/>
          <w:tab w:val="left" w:pos="5670"/>
        </w:tabs>
        <w:spacing w:beforeLines="0" w:afterLines="0"/>
        <w:ind w:firstLine="560"/>
        <w:rPr>
          <w:rFonts w:hint="default" w:ascii="Times New Roman" w:hAnsi="Times New Roman" w:eastAsia="黑体"/>
          <w:color w:val="auto"/>
          <w:sz w:val="28"/>
          <w:szCs w:val="28"/>
        </w:rPr>
      </w:pPr>
    </w:p>
    <w:p w14:paraId="617BBE58">
      <w:pPr>
        <w:widowControl/>
        <w:spacing w:beforeLines="0" w:afterLines="0" w:line="440" w:lineRule="exact"/>
        <w:jc w:val="center"/>
        <w:rPr>
          <w:rFonts w:hint="default"/>
          <w:color w:val="auto"/>
          <w:sz w:val="21"/>
          <w:szCs w:val="24"/>
        </w:rPr>
      </w:pPr>
    </w:p>
    <w:p w14:paraId="1976D209">
      <w:pPr>
        <w:widowControl/>
        <w:spacing w:beforeLines="0" w:afterLines="0" w:line="440" w:lineRule="exact"/>
        <w:jc w:val="center"/>
        <w:rPr>
          <w:rFonts w:hint="default"/>
          <w:color w:val="auto"/>
          <w:sz w:val="21"/>
          <w:szCs w:val="24"/>
        </w:rPr>
      </w:pPr>
    </w:p>
    <w:p w14:paraId="13048243">
      <w:pPr>
        <w:spacing w:beforeLines="0" w:afterLines="0" w:line="440" w:lineRule="exact"/>
        <w:jc w:val="center"/>
        <w:rPr>
          <w:rFonts w:hint="default" w:ascii="Times New Roman" w:hAnsi="Times New Roman" w:eastAsia="黑体"/>
          <w:color w:val="auto"/>
          <w:sz w:val="28"/>
          <w:szCs w:val="28"/>
        </w:rPr>
      </w:pPr>
      <w:bookmarkStart w:id="130" w:name="_Toc22014_WPSOffice_Level1"/>
      <w:bookmarkStart w:id="131" w:name="_Toc4822_WPSOffice_Level1"/>
    </w:p>
    <w:p w14:paraId="52E1105B">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七、其它材料</w:t>
      </w:r>
      <w:bookmarkEnd w:id="130"/>
      <w:bookmarkEnd w:id="131"/>
    </w:p>
    <w:p w14:paraId="5046FE4A">
      <w:pPr>
        <w:pStyle w:val="8"/>
        <w:spacing w:beforeLines="0" w:afterLines="0" w:line="360" w:lineRule="auto"/>
        <w:outlineLvl w:val="0"/>
        <w:rPr>
          <w:rFonts w:hint="default" w:ascii="Times New Roman" w:hAnsi="Times New Roman"/>
          <w:color w:val="auto"/>
          <w:sz w:val="21"/>
          <w:szCs w:val="28"/>
        </w:rPr>
      </w:pPr>
      <w:bookmarkStart w:id="132" w:name="_Toc12549"/>
      <w:bookmarkStart w:id="133" w:name="_Toc26833"/>
      <w:bookmarkStart w:id="134" w:name="_Toc3540"/>
      <w:bookmarkStart w:id="135" w:name="_Toc25038"/>
      <w:bookmarkStart w:id="136" w:name="_Toc26703"/>
      <w:bookmarkStart w:id="137" w:name="_Toc32376"/>
      <w:bookmarkStart w:id="138" w:name="_Toc27019"/>
      <w:bookmarkStart w:id="139" w:name="_Toc25270"/>
      <w:r>
        <w:rPr>
          <w:rFonts w:hint="eastAsia" w:ascii="Times New Roman" w:hAnsi="Times New Roman"/>
          <w:color w:val="auto"/>
          <w:sz w:val="21"/>
          <w:szCs w:val="28"/>
        </w:rPr>
        <w:t>响应保证金的银行凭证（电汇回单）复印件以及供应商认为需要递交的其它材料。</w:t>
      </w:r>
      <w:bookmarkEnd w:id="132"/>
      <w:bookmarkEnd w:id="133"/>
      <w:bookmarkEnd w:id="134"/>
      <w:bookmarkEnd w:id="135"/>
      <w:bookmarkEnd w:id="136"/>
      <w:bookmarkEnd w:id="137"/>
      <w:bookmarkEnd w:id="138"/>
      <w:bookmarkEnd w:id="139"/>
    </w:p>
    <w:p w14:paraId="16FF3406">
      <w:pPr>
        <w:spacing w:beforeLines="0" w:afterLines="0"/>
        <w:rPr>
          <w:rFonts w:hint="default" w:ascii="Times New Roman" w:hAnsi="Times New Roman"/>
          <w:color w:val="auto"/>
          <w:sz w:val="21"/>
          <w:szCs w:val="28"/>
        </w:rPr>
      </w:pPr>
    </w:p>
    <w:p w14:paraId="60BF3C99">
      <w:pPr>
        <w:pStyle w:val="20"/>
        <w:tabs>
          <w:tab w:val="left" w:pos="1078"/>
          <w:tab w:val="left" w:pos="1176"/>
          <w:tab w:val="left" w:pos="1638"/>
          <w:tab w:val="left" w:pos="3920"/>
          <w:tab w:val="left" w:pos="5670"/>
        </w:tabs>
        <w:spacing w:beforeLines="0" w:afterLines="0"/>
        <w:rPr>
          <w:rFonts w:hint="default" w:ascii="Times New Roman" w:hAnsi="Times New Roman"/>
          <w:color w:val="auto"/>
          <w:sz w:val="21"/>
          <w:szCs w:val="28"/>
        </w:rPr>
      </w:pPr>
    </w:p>
    <w:p w14:paraId="4D2360D6">
      <w:pPr>
        <w:pStyle w:val="19"/>
        <w:spacing w:beforeLines="0" w:afterLines="0"/>
        <w:ind w:firstLine="210"/>
        <w:rPr>
          <w:rFonts w:hint="default" w:ascii="Times New Roman" w:hAnsi="Times New Roman"/>
          <w:color w:val="auto"/>
          <w:sz w:val="21"/>
          <w:szCs w:val="28"/>
        </w:rPr>
      </w:pPr>
    </w:p>
    <w:p w14:paraId="665D1A6B">
      <w:pPr>
        <w:pStyle w:val="19"/>
        <w:spacing w:beforeLines="0" w:afterLines="0"/>
        <w:ind w:firstLine="210"/>
        <w:rPr>
          <w:rFonts w:hint="default" w:ascii="Times New Roman" w:hAnsi="Times New Roman"/>
          <w:color w:val="auto"/>
          <w:sz w:val="21"/>
          <w:szCs w:val="28"/>
        </w:rPr>
      </w:pPr>
    </w:p>
    <w:p w14:paraId="4330F25B">
      <w:pPr>
        <w:pStyle w:val="19"/>
        <w:spacing w:beforeLines="0" w:afterLines="0"/>
        <w:ind w:firstLine="210"/>
        <w:rPr>
          <w:rFonts w:hint="default" w:ascii="Times New Roman" w:hAnsi="Times New Roman"/>
          <w:color w:val="auto"/>
          <w:sz w:val="21"/>
          <w:szCs w:val="28"/>
        </w:rPr>
      </w:pPr>
    </w:p>
    <w:p w14:paraId="3B37C81B">
      <w:pPr>
        <w:pStyle w:val="19"/>
        <w:spacing w:beforeLines="0" w:afterLines="0"/>
        <w:ind w:firstLine="210"/>
        <w:rPr>
          <w:rFonts w:hint="default" w:ascii="Times New Roman" w:hAnsi="Times New Roman"/>
          <w:color w:val="auto"/>
          <w:sz w:val="21"/>
          <w:szCs w:val="28"/>
        </w:rPr>
      </w:pPr>
    </w:p>
    <w:p w14:paraId="3C5B5C2D">
      <w:pPr>
        <w:pStyle w:val="19"/>
        <w:spacing w:beforeLines="0" w:afterLines="0"/>
        <w:ind w:firstLine="210"/>
        <w:rPr>
          <w:rFonts w:hint="default" w:ascii="Times New Roman" w:hAnsi="Times New Roman"/>
          <w:color w:val="auto"/>
          <w:sz w:val="21"/>
          <w:szCs w:val="28"/>
        </w:rPr>
      </w:pPr>
    </w:p>
    <w:p w14:paraId="2636DA55">
      <w:pPr>
        <w:pStyle w:val="19"/>
        <w:spacing w:beforeLines="0" w:afterLines="0"/>
        <w:ind w:firstLine="210"/>
        <w:rPr>
          <w:rFonts w:hint="default" w:ascii="Times New Roman" w:hAnsi="Times New Roman"/>
          <w:color w:val="auto"/>
          <w:sz w:val="21"/>
          <w:szCs w:val="28"/>
        </w:rPr>
      </w:pPr>
    </w:p>
    <w:p w14:paraId="60ECA3A5">
      <w:pPr>
        <w:pStyle w:val="19"/>
        <w:spacing w:beforeLines="0" w:afterLines="0"/>
        <w:ind w:firstLine="210"/>
        <w:rPr>
          <w:rFonts w:hint="default" w:ascii="Times New Roman" w:hAnsi="Times New Roman"/>
          <w:color w:val="auto"/>
          <w:sz w:val="21"/>
          <w:szCs w:val="28"/>
        </w:rPr>
      </w:pPr>
    </w:p>
    <w:p w14:paraId="06C572FC">
      <w:pPr>
        <w:pStyle w:val="19"/>
        <w:spacing w:beforeLines="0" w:afterLines="0"/>
        <w:ind w:firstLine="210"/>
        <w:rPr>
          <w:rFonts w:hint="default" w:ascii="Times New Roman" w:hAnsi="Times New Roman"/>
          <w:color w:val="auto"/>
          <w:sz w:val="21"/>
          <w:szCs w:val="28"/>
        </w:rPr>
      </w:pPr>
    </w:p>
    <w:p w14:paraId="61594D34">
      <w:pPr>
        <w:pStyle w:val="20"/>
        <w:tabs>
          <w:tab w:val="left" w:pos="1078"/>
          <w:tab w:val="left" w:pos="1176"/>
          <w:tab w:val="left" w:pos="1638"/>
          <w:tab w:val="left" w:pos="3920"/>
          <w:tab w:val="left" w:pos="5670"/>
        </w:tabs>
        <w:spacing w:beforeLines="0" w:afterLines="0"/>
        <w:ind w:left="0" w:leftChars="0" w:firstLine="0" w:firstLineChars="0"/>
        <w:rPr>
          <w:rFonts w:hint="default"/>
          <w:color w:val="auto"/>
          <w:sz w:val="21"/>
          <w:szCs w:val="22"/>
        </w:rPr>
      </w:pPr>
    </w:p>
    <w:bookmarkEnd w:id="73"/>
    <w:bookmarkEnd w:id="74"/>
    <w:bookmarkEnd w:id="75"/>
    <w:bookmarkEnd w:id="76"/>
    <w:bookmarkEnd w:id="77"/>
    <w:bookmarkEnd w:id="78"/>
    <w:bookmarkEnd w:id="79"/>
    <w:bookmarkEnd w:id="80"/>
    <w:bookmarkEnd w:id="81"/>
    <w:bookmarkEnd w:id="82"/>
    <w:p w14:paraId="3D6D36A6">
      <w:pPr>
        <w:pStyle w:val="33"/>
        <w:spacing w:beforeLines="0" w:afterLines="0"/>
        <w:rPr>
          <w:rFonts w:hint="eastAsia"/>
          <w:color w:val="auto"/>
          <w:sz w:val="24"/>
          <w:szCs w:val="24"/>
        </w:rPr>
      </w:pPr>
    </w:p>
    <w:p w14:paraId="17C1CFD3">
      <w:pPr>
        <w:spacing w:beforeLines="0" w:afterLines="0" w:line="440" w:lineRule="exact"/>
        <w:jc w:val="center"/>
        <w:rPr>
          <w:rFonts w:hint="default" w:ascii="Times New Roman" w:hAnsi="Times New Roman" w:eastAsia="黑体"/>
          <w:color w:val="auto"/>
          <w:sz w:val="28"/>
          <w:szCs w:val="28"/>
        </w:rPr>
      </w:pPr>
    </w:p>
    <w:p w14:paraId="0422FC23">
      <w:pPr>
        <w:spacing w:beforeLines="0" w:afterLines="0" w:line="440" w:lineRule="exact"/>
        <w:jc w:val="center"/>
        <w:rPr>
          <w:rFonts w:hint="default" w:ascii="Times New Roman" w:hAnsi="Times New Roman" w:eastAsia="黑体"/>
          <w:color w:val="auto"/>
          <w:sz w:val="28"/>
          <w:szCs w:val="28"/>
        </w:rPr>
      </w:pPr>
    </w:p>
    <w:p w14:paraId="02A10158">
      <w:pPr>
        <w:spacing w:beforeLines="0" w:afterLines="0" w:line="440" w:lineRule="exact"/>
        <w:jc w:val="center"/>
        <w:rPr>
          <w:rFonts w:hint="default" w:ascii="Times New Roman" w:hAnsi="Times New Roman" w:eastAsia="黑体"/>
          <w:color w:val="auto"/>
          <w:sz w:val="28"/>
          <w:szCs w:val="28"/>
        </w:rPr>
      </w:pPr>
    </w:p>
    <w:p w14:paraId="298151E0">
      <w:pPr>
        <w:spacing w:beforeLines="0" w:afterLines="0" w:line="440" w:lineRule="exact"/>
        <w:jc w:val="center"/>
        <w:rPr>
          <w:rFonts w:hint="default" w:ascii="Times New Roman" w:hAnsi="Times New Roman" w:eastAsia="黑体"/>
          <w:color w:val="auto"/>
          <w:sz w:val="28"/>
          <w:szCs w:val="28"/>
        </w:rPr>
      </w:pPr>
    </w:p>
    <w:p w14:paraId="17628F17">
      <w:pPr>
        <w:spacing w:beforeLines="0" w:afterLines="0" w:line="440" w:lineRule="exact"/>
        <w:jc w:val="center"/>
        <w:rPr>
          <w:rFonts w:hint="default" w:ascii="Times New Roman" w:hAnsi="Times New Roman" w:eastAsia="黑体"/>
          <w:color w:val="auto"/>
          <w:sz w:val="28"/>
          <w:szCs w:val="28"/>
        </w:rPr>
      </w:pPr>
    </w:p>
    <w:p w14:paraId="7036EB28">
      <w:pPr>
        <w:spacing w:beforeLines="0" w:afterLines="0" w:line="440" w:lineRule="exact"/>
        <w:jc w:val="center"/>
        <w:rPr>
          <w:rFonts w:hint="default" w:ascii="Times New Roman" w:hAnsi="Times New Roman" w:eastAsia="黑体"/>
          <w:color w:val="auto"/>
          <w:sz w:val="28"/>
          <w:szCs w:val="28"/>
        </w:rPr>
      </w:pPr>
    </w:p>
    <w:p w14:paraId="0008A1C6">
      <w:pPr>
        <w:spacing w:beforeLines="0" w:afterLines="0" w:line="440" w:lineRule="exact"/>
        <w:jc w:val="center"/>
        <w:rPr>
          <w:rFonts w:hint="default" w:ascii="Times New Roman" w:hAnsi="Times New Roman" w:eastAsia="黑体"/>
          <w:color w:val="auto"/>
          <w:sz w:val="28"/>
          <w:szCs w:val="28"/>
        </w:rPr>
      </w:pPr>
    </w:p>
    <w:p w14:paraId="2F8E66FF">
      <w:pPr>
        <w:spacing w:beforeLines="0" w:afterLines="0" w:line="440" w:lineRule="exact"/>
        <w:jc w:val="center"/>
        <w:rPr>
          <w:rFonts w:hint="default" w:ascii="Times New Roman" w:hAnsi="Times New Roman" w:eastAsia="黑体"/>
          <w:color w:val="auto"/>
          <w:sz w:val="28"/>
          <w:szCs w:val="28"/>
        </w:rPr>
      </w:pPr>
    </w:p>
    <w:p w14:paraId="7CFE765D">
      <w:pPr>
        <w:spacing w:beforeLines="0" w:afterLines="0" w:line="440" w:lineRule="exact"/>
        <w:jc w:val="center"/>
        <w:rPr>
          <w:rFonts w:hint="default" w:ascii="Times New Roman" w:hAnsi="Times New Roman" w:eastAsia="黑体"/>
          <w:color w:val="auto"/>
          <w:sz w:val="28"/>
          <w:szCs w:val="28"/>
        </w:rPr>
      </w:pPr>
    </w:p>
    <w:p w14:paraId="7D8CA839">
      <w:pPr>
        <w:spacing w:beforeLines="0" w:afterLines="0" w:line="440" w:lineRule="exact"/>
        <w:jc w:val="center"/>
        <w:rPr>
          <w:rFonts w:hint="default" w:ascii="Times New Roman" w:hAnsi="Times New Roman" w:eastAsia="黑体"/>
          <w:color w:val="auto"/>
          <w:sz w:val="28"/>
          <w:szCs w:val="28"/>
        </w:rPr>
      </w:pPr>
    </w:p>
    <w:p w14:paraId="3CC8AB84">
      <w:pPr>
        <w:spacing w:beforeLines="0" w:afterLines="0" w:line="440" w:lineRule="exact"/>
        <w:jc w:val="center"/>
        <w:rPr>
          <w:rFonts w:hint="default" w:ascii="Times New Roman" w:hAnsi="Times New Roman" w:eastAsia="黑体"/>
          <w:color w:val="auto"/>
          <w:sz w:val="28"/>
          <w:szCs w:val="28"/>
        </w:rPr>
      </w:pPr>
    </w:p>
    <w:p w14:paraId="3715685D">
      <w:pPr>
        <w:pStyle w:val="20"/>
        <w:spacing w:beforeLines="0" w:afterLines="0"/>
        <w:ind w:firstLine="560"/>
        <w:rPr>
          <w:rFonts w:hint="default" w:ascii="Times New Roman" w:hAnsi="Times New Roman" w:eastAsia="黑体"/>
          <w:color w:val="auto"/>
          <w:sz w:val="28"/>
          <w:szCs w:val="28"/>
        </w:rPr>
      </w:pPr>
    </w:p>
    <w:p w14:paraId="4DB10930">
      <w:pPr>
        <w:spacing w:beforeLines="0" w:afterLines="0" w:line="440" w:lineRule="exact"/>
        <w:jc w:val="center"/>
        <w:rPr>
          <w:rFonts w:hint="eastAsia" w:ascii="Times New Roman" w:hAnsi="Times New Roman" w:eastAsia="Times New Roman"/>
          <w:sz w:val="28"/>
          <w:szCs w:val="28"/>
        </w:rPr>
      </w:pPr>
    </w:p>
    <w:p w14:paraId="3A11EAEC">
      <w:pPr>
        <w:spacing w:beforeLines="0" w:afterLines="0" w:line="440" w:lineRule="exact"/>
        <w:jc w:val="center"/>
        <w:rPr>
          <w:rFonts w:hint="eastAsia" w:ascii="Times New Roman" w:hAnsi="Times New Roman" w:eastAsia="Times New Roman"/>
          <w:sz w:val="28"/>
          <w:szCs w:val="28"/>
        </w:rPr>
      </w:pPr>
    </w:p>
    <w:p w14:paraId="3ED07910">
      <w:pPr>
        <w:spacing w:beforeLines="0" w:afterLines="0" w:line="440" w:lineRule="exact"/>
        <w:jc w:val="center"/>
        <w:rPr>
          <w:rFonts w:hint="eastAsia" w:ascii="Times New Roman" w:hAnsi="Times New Roman" w:eastAsia="Times New Roman"/>
          <w:sz w:val="28"/>
          <w:szCs w:val="28"/>
        </w:rPr>
      </w:pPr>
    </w:p>
    <w:p w14:paraId="29FA6340">
      <w:pPr>
        <w:spacing w:beforeLines="0" w:afterLines="0" w:line="440" w:lineRule="exact"/>
        <w:jc w:val="center"/>
        <w:rPr>
          <w:rFonts w:hint="eastAsia" w:ascii="Times New Roman" w:hAnsi="Times New Roman" w:eastAsia="Times New Roman"/>
          <w:sz w:val="28"/>
          <w:szCs w:val="28"/>
        </w:rPr>
      </w:pPr>
    </w:p>
    <w:p w14:paraId="718A9C1F">
      <w:pPr>
        <w:spacing w:beforeLines="0" w:afterLines="0" w:line="440" w:lineRule="exact"/>
        <w:jc w:val="both"/>
        <w:rPr>
          <w:rFonts w:hint="eastAsia" w:ascii="Times New Roman" w:hAnsi="Times New Roman" w:eastAsia="Times New Roman"/>
          <w:sz w:val="28"/>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E17A51-F39F-40C6-92E2-2AB522DD0E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F969C51-5F89-45CD-8905-8B26821AD482}"/>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D6E8E7D1-EAB1-46D5-9936-B15C4982CD8F}"/>
  </w:font>
  <w:font w:name="华文楷体">
    <w:panose1 w:val="02010600040101010101"/>
    <w:charset w:val="86"/>
    <w:family w:val="auto"/>
    <w:pitch w:val="default"/>
    <w:sig w:usb0="00000287" w:usb1="080F0000" w:usb2="00000000" w:usb3="00000000" w:csb0="0004009F" w:csb1="DFD70000"/>
    <w:embedRegular r:id="rId4" w:fontKey="{2FABA107-681F-4D58-905D-6FA797A778A5}"/>
  </w:font>
  <w:font w:name="仿宋_GB2312">
    <w:altName w:val="仿宋"/>
    <w:panose1 w:val="02010609030101010101"/>
    <w:charset w:val="86"/>
    <w:family w:val="modern"/>
    <w:pitch w:val="default"/>
    <w:sig w:usb0="00000000" w:usb1="00000000" w:usb2="00000000" w:usb3="00000000" w:csb0="00040000" w:csb1="00000000"/>
    <w:embedRegular r:id="rId5" w:fontKey="{FF9D117B-7C54-42DE-9F88-F0A168EBC5D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B0EE">
    <w:pPr>
      <w:pStyle w:val="14"/>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p w14:paraId="69DDDF53">
    <w:pPr>
      <w:pStyle w:val="14"/>
      <w:spacing w:beforeLines="0" w:afterLines="0"/>
      <w:ind w:firstLine="36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799A">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tnjUb+cBAADI&#10;AwAADgAAAAAAAAABACAAAAAfAQAAZHJzL2Uyb0RvYy54bWxQSwUGAAAAAAYABgBZAQAAeAUAAAAA&#10;">
              <v:fill on="f" focussize="0,0"/>
              <v:stroke on="f" weight="0.5pt"/>
              <v:imagedata o:title=""/>
              <o:lock v:ext="edit" aspectratio="f"/>
              <v:textbox inset="0mm,0mm,0mm,0mm" style="mso-fit-shape-to-text:t;">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B6E0">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9c8tT+cBAADI&#10;AwAADgAAAAAAAAABACAAAAAfAQAAZHJzL2Uyb0RvYy54bWxQSwUGAAAAAAYABgBZAQAAeAUAAAAA&#10;">
              <v:fill on="f" focussize="0,0"/>
              <v:stroke on="f" weight="0.5pt"/>
              <v:imagedata o:title=""/>
              <o:lock v:ext="edit" aspectratio="f"/>
              <v:textbox inset="0mm,0mm,0mm,0mm" style="mso-fit-shape-to-text:t;">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6C68">
    <w:pPr>
      <w:pStyle w:val="9"/>
      <w:spacing w:beforeLines="0" w:afterLines="0"/>
      <w:jc w:val="left"/>
      <w:rPr>
        <w:rFonts w:hint="eastAsia" w:ascii="仿宋_GB2312" w:hAnsi="仿宋_GB2312" w:eastAsia="仿宋_GB2312" w:cs="仿宋_GB2312"/>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89E0">
    <w:pPr>
      <w:pStyle w:val="9"/>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multilevel"/>
    <w:tmpl w:val="A735E4DF"/>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D7D15A9"/>
    <w:multiLevelType w:val="multilevel"/>
    <w:tmpl w:val="1D7D15A9"/>
    <w:lvl w:ilvl="0" w:tentative="0">
      <w:start w:val="1"/>
      <w:numFmt w:val="ideographTradition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630E854"/>
    <w:multiLevelType w:val="multilevel"/>
    <w:tmpl w:val="2630E854"/>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92DD599"/>
    <w:multiLevelType w:val="multilevel"/>
    <w:tmpl w:val="792DD599"/>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33A2A"/>
    <w:rsid w:val="005607D6"/>
    <w:rsid w:val="005F4152"/>
    <w:rsid w:val="00653222"/>
    <w:rsid w:val="00675481"/>
    <w:rsid w:val="00691F7C"/>
    <w:rsid w:val="00724BD4"/>
    <w:rsid w:val="007678F7"/>
    <w:rsid w:val="007C6E94"/>
    <w:rsid w:val="008B169A"/>
    <w:rsid w:val="00950240"/>
    <w:rsid w:val="00A15DCF"/>
    <w:rsid w:val="00D704DB"/>
    <w:rsid w:val="00DE5743"/>
    <w:rsid w:val="00E30FAC"/>
    <w:rsid w:val="00E8570D"/>
    <w:rsid w:val="010A3C11"/>
    <w:rsid w:val="010E69FF"/>
    <w:rsid w:val="017D7CB0"/>
    <w:rsid w:val="0180687D"/>
    <w:rsid w:val="01DF3052"/>
    <w:rsid w:val="0211370D"/>
    <w:rsid w:val="022655F4"/>
    <w:rsid w:val="023E3C6A"/>
    <w:rsid w:val="0286092F"/>
    <w:rsid w:val="028D5673"/>
    <w:rsid w:val="02B159B4"/>
    <w:rsid w:val="02C26D91"/>
    <w:rsid w:val="02D346A3"/>
    <w:rsid w:val="02DF3606"/>
    <w:rsid w:val="02F05C02"/>
    <w:rsid w:val="0350044F"/>
    <w:rsid w:val="0371289F"/>
    <w:rsid w:val="038863C7"/>
    <w:rsid w:val="03A9557F"/>
    <w:rsid w:val="03BF4419"/>
    <w:rsid w:val="03C513DB"/>
    <w:rsid w:val="03E73AF1"/>
    <w:rsid w:val="03F914B2"/>
    <w:rsid w:val="04230E30"/>
    <w:rsid w:val="042516B9"/>
    <w:rsid w:val="04284E13"/>
    <w:rsid w:val="042F2C67"/>
    <w:rsid w:val="045E338A"/>
    <w:rsid w:val="047010F6"/>
    <w:rsid w:val="04701D1E"/>
    <w:rsid w:val="04842AA6"/>
    <w:rsid w:val="04B27DDA"/>
    <w:rsid w:val="04E034BC"/>
    <w:rsid w:val="0535195E"/>
    <w:rsid w:val="054416D2"/>
    <w:rsid w:val="057523EE"/>
    <w:rsid w:val="05AF29EE"/>
    <w:rsid w:val="05D2339D"/>
    <w:rsid w:val="05F62696"/>
    <w:rsid w:val="05F94BA8"/>
    <w:rsid w:val="060774EA"/>
    <w:rsid w:val="062C6F51"/>
    <w:rsid w:val="06341F34"/>
    <w:rsid w:val="064D77D2"/>
    <w:rsid w:val="068727A0"/>
    <w:rsid w:val="06A116ED"/>
    <w:rsid w:val="07063EDC"/>
    <w:rsid w:val="071432F2"/>
    <w:rsid w:val="072B7870"/>
    <w:rsid w:val="073835B2"/>
    <w:rsid w:val="076958CF"/>
    <w:rsid w:val="07A31864"/>
    <w:rsid w:val="07AF3996"/>
    <w:rsid w:val="07C951F6"/>
    <w:rsid w:val="080B2B96"/>
    <w:rsid w:val="081A53ED"/>
    <w:rsid w:val="081D6FC0"/>
    <w:rsid w:val="08412974"/>
    <w:rsid w:val="0857133C"/>
    <w:rsid w:val="0881185D"/>
    <w:rsid w:val="08907C6B"/>
    <w:rsid w:val="08E91129"/>
    <w:rsid w:val="08EC520F"/>
    <w:rsid w:val="090A6B05"/>
    <w:rsid w:val="09187C60"/>
    <w:rsid w:val="091A677A"/>
    <w:rsid w:val="09210464"/>
    <w:rsid w:val="095E1B17"/>
    <w:rsid w:val="096867B1"/>
    <w:rsid w:val="09B13FF7"/>
    <w:rsid w:val="0A222B45"/>
    <w:rsid w:val="0A2E7496"/>
    <w:rsid w:val="0A415F8C"/>
    <w:rsid w:val="0A466107"/>
    <w:rsid w:val="0A497A95"/>
    <w:rsid w:val="0A64315D"/>
    <w:rsid w:val="0A941F2B"/>
    <w:rsid w:val="0AAD73BC"/>
    <w:rsid w:val="0AB84C95"/>
    <w:rsid w:val="0AED0915"/>
    <w:rsid w:val="0AF3003D"/>
    <w:rsid w:val="0AF53DB5"/>
    <w:rsid w:val="0B286939"/>
    <w:rsid w:val="0B2E4625"/>
    <w:rsid w:val="0B416FFB"/>
    <w:rsid w:val="0BA10DDD"/>
    <w:rsid w:val="0BB2614A"/>
    <w:rsid w:val="0BC86369"/>
    <w:rsid w:val="0BCC3D77"/>
    <w:rsid w:val="0BDD422F"/>
    <w:rsid w:val="0C024903"/>
    <w:rsid w:val="0C0B7829"/>
    <w:rsid w:val="0C126BE9"/>
    <w:rsid w:val="0C252478"/>
    <w:rsid w:val="0C3966E0"/>
    <w:rsid w:val="0C425774"/>
    <w:rsid w:val="0C433DD8"/>
    <w:rsid w:val="0CA667B4"/>
    <w:rsid w:val="0CB62B1E"/>
    <w:rsid w:val="0D2E601A"/>
    <w:rsid w:val="0D2F715C"/>
    <w:rsid w:val="0D604989"/>
    <w:rsid w:val="0D676CED"/>
    <w:rsid w:val="0DBD0BDC"/>
    <w:rsid w:val="0DC42165"/>
    <w:rsid w:val="0DE02F17"/>
    <w:rsid w:val="0DF4444A"/>
    <w:rsid w:val="0E436CA2"/>
    <w:rsid w:val="0E4F7C80"/>
    <w:rsid w:val="0EA07AC2"/>
    <w:rsid w:val="0EB73ADA"/>
    <w:rsid w:val="0EBA46A3"/>
    <w:rsid w:val="0EBB2DAD"/>
    <w:rsid w:val="0EC67CF4"/>
    <w:rsid w:val="0ED411DA"/>
    <w:rsid w:val="0F3D5D2B"/>
    <w:rsid w:val="0F4E7639"/>
    <w:rsid w:val="0F531ACB"/>
    <w:rsid w:val="0F6F4854"/>
    <w:rsid w:val="0F9D4A1B"/>
    <w:rsid w:val="0F9F0794"/>
    <w:rsid w:val="0FB568C1"/>
    <w:rsid w:val="0FBE1FCA"/>
    <w:rsid w:val="0FD41FBD"/>
    <w:rsid w:val="0FD4370B"/>
    <w:rsid w:val="0FDC5544"/>
    <w:rsid w:val="101A751A"/>
    <w:rsid w:val="103E486A"/>
    <w:rsid w:val="106D5B52"/>
    <w:rsid w:val="1090350E"/>
    <w:rsid w:val="10944070"/>
    <w:rsid w:val="10A6372F"/>
    <w:rsid w:val="10A97373"/>
    <w:rsid w:val="10DA535D"/>
    <w:rsid w:val="10F863AD"/>
    <w:rsid w:val="110D2AFF"/>
    <w:rsid w:val="112131E2"/>
    <w:rsid w:val="11445E23"/>
    <w:rsid w:val="11681ED6"/>
    <w:rsid w:val="119C482A"/>
    <w:rsid w:val="11C6025A"/>
    <w:rsid w:val="11DF30C9"/>
    <w:rsid w:val="11EB7CC0"/>
    <w:rsid w:val="11F528ED"/>
    <w:rsid w:val="11FD4CD5"/>
    <w:rsid w:val="129325F3"/>
    <w:rsid w:val="129465AA"/>
    <w:rsid w:val="12983425"/>
    <w:rsid w:val="12FA3B2F"/>
    <w:rsid w:val="13431F92"/>
    <w:rsid w:val="13955E86"/>
    <w:rsid w:val="13C13BEB"/>
    <w:rsid w:val="13D604FC"/>
    <w:rsid w:val="13E11194"/>
    <w:rsid w:val="13EC1865"/>
    <w:rsid w:val="144A391D"/>
    <w:rsid w:val="145D3899"/>
    <w:rsid w:val="14B7657F"/>
    <w:rsid w:val="14CE63E8"/>
    <w:rsid w:val="150E5893"/>
    <w:rsid w:val="150F1051"/>
    <w:rsid w:val="15133F2C"/>
    <w:rsid w:val="1563568B"/>
    <w:rsid w:val="15834346"/>
    <w:rsid w:val="15AF385B"/>
    <w:rsid w:val="15C3657D"/>
    <w:rsid w:val="15ED748E"/>
    <w:rsid w:val="16201F02"/>
    <w:rsid w:val="1621708A"/>
    <w:rsid w:val="163D1F3A"/>
    <w:rsid w:val="16414AC9"/>
    <w:rsid w:val="166B6B73"/>
    <w:rsid w:val="16777D74"/>
    <w:rsid w:val="167C0AF5"/>
    <w:rsid w:val="167C76AF"/>
    <w:rsid w:val="16A14FAE"/>
    <w:rsid w:val="16FF3D15"/>
    <w:rsid w:val="17024379"/>
    <w:rsid w:val="17263548"/>
    <w:rsid w:val="17755202"/>
    <w:rsid w:val="1776370C"/>
    <w:rsid w:val="17CF3BE0"/>
    <w:rsid w:val="17E374A3"/>
    <w:rsid w:val="186C7681"/>
    <w:rsid w:val="18786026"/>
    <w:rsid w:val="188C4113"/>
    <w:rsid w:val="189E5E26"/>
    <w:rsid w:val="18D04606"/>
    <w:rsid w:val="18D70F9E"/>
    <w:rsid w:val="18FA5B52"/>
    <w:rsid w:val="19053D5D"/>
    <w:rsid w:val="190D676E"/>
    <w:rsid w:val="191A46EE"/>
    <w:rsid w:val="19600F94"/>
    <w:rsid w:val="19647370"/>
    <w:rsid w:val="198509FA"/>
    <w:rsid w:val="19A32D0D"/>
    <w:rsid w:val="19C83B53"/>
    <w:rsid w:val="19DE1C05"/>
    <w:rsid w:val="19EB0A7A"/>
    <w:rsid w:val="1A185E2C"/>
    <w:rsid w:val="1A1D0C33"/>
    <w:rsid w:val="1A3C6E09"/>
    <w:rsid w:val="1A657CD8"/>
    <w:rsid w:val="1A741F99"/>
    <w:rsid w:val="1AA634F7"/>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787BD0"/>
    <w:rsid w:val="1D8925B9"/>
    <w:rsid w:val="1D9C6C71"/>
    <w:rsid w:val="1DBF4066"/>
    <w:rsid w:val="1DC0096E"/>
    <w:rsid w:val="1DD02C25"/>
    <w:rsid w:val="1DDD26E1"/>
    <w:rsid w:val="1DFB32CC"/>
    <w:rsid w:val="1E085F02"/>
    <w:rsid w:val="1E304C77"/>
    <w:rsid w:val="1E562AD4"/>
    <w:rsid w:val="1E764DB5"/>
    <w:rsid w:val="1E7E7378"/>
    <w:rsid w:val="1E957931"/>
    <w:rsid w:val="1EED7E88"/>
    <w:rsid w:val="1EEE0DF0"/>
    <w:rsid w:val="1F0529C7"/>
    <w:rsid w:val="1F091FF2"/>
    <w:rsid w:val="1F172B9E"/>
    <w:rsid w:val="1F8615BF"/>
    <w:rsid w:val="1F93095F"/>
    <w:rsid w:val="1FB449F5"/>
    <w:rsid w:val="1FC01B05"/>
    <w:rsid w:val="1FE64151"/>
    <w:rsid w:val="1FEA7927"/>
    <w:rsid w:val="201E0812"/>
    <w:rsid w:val="20220D88"/>
    <w:rsid w:val="202D724A"/>
    <w:rsid w:val="20432E03"/>
    <w:rsid w:val="20703AC9"/>
    <w:rsid w:val="20CE5700"/>
    <w:rsid w:val="20CE712B"/>
    <w:rsid w:val="20E701EC"/>
    <w:rsid w:val="20FB77F4"/>
    <w:rsid w:val="21366A7E"/>
    <w:rsid w:val="213B7C90"/>
    <w:rsid w:val="216C51F8"/>
    <w:rsid w:val="21705735"/>
    <w:rsid w:val="21EC1864"/>
    <w:rsid w:val="2211172D"/>
    <w:rsid w:val="22160D89"/>
    <w:rsid w:val="222F5C4D"/>
    <w:rsid w:val="22456F98"/>
    <w:rsid w:val="22694276"/>
    <w:rsid w:val="22853AE2"/>
    <w:rsid w:val="22886585"/>
    <w:rsid w:val="22A243CB"/>
    <w:rsid w:val="22E61BD6"/>
    <w:rsid w:val="23610B8C"/>
    <w:rsid w:val="23767E36"/>
    <w:rsid w:val="23A67E9D"/>
    <w:rsid w:val="23D04F68"/>
    <w:rsid w:val="241155A9"/>
    <w:rsid w:val="24170733"/>
    <w:rsid w:val="241D716E"/>
    <w:rsid w:val="244412FB"/>
    <w:rsid w:val="24573D82"/>
    <w:rsid w:val="2472524B"/>
    <w:rsid w:val="247578BD"/>
    <w:rsid w:val="24AD2EBF"/>
    <w:rsid w:val="24BB5C18"/>
    <w:rsid w:val="25076E4C"/>
    <w:rsid w:val="253902A6"/>
    <w:rsid w:val="253F05F7"/>
    <w:rsid w:val="254A0D4A"/>
    <w:rsid w:val="254B358D"/>
    <w:rsid w:val="256E6DFD"/>
    <w:rsid w:val="25891872"/>
    <w:rsid w:val="25B678EC"/>
    <w:rsid w:val="25B736EC"/>
    <w:rsid w:val="25CC7C14"/>
    <w:rsid w:val="2613091A"/>
    <w:rsid w:val="264D0AF2"/>
    <w:rsid w:val="265909F3"/>
    <w:rsid w:val="26BB5A5B"/>
    <w:rsid w:val="26DD27D4"/>
    <w:rsid w:val="26E0066E"/>
    <w:rsid w:val="26E81DCB"/>
    <w:rsid w:val="26F1147D"/>
    <w:rsid w:val="26FE3B9A"/>
    <w:rsid w:val="273571C2"/>
    <w:rsid w:val="275A75F4"/>
    <w:rsid w:val="275E50DA"/>
    <w:rsid w:val="27621A0B"/>
    <w:rsid w:val="279E7B84"/>
    <w:rsid w:val="27B103DE"/>
    <w:rsid w:val="27C945C7"/>
    <w:rsid w:val="27DC4161"/>
    <w:rsid w:val="28302479"/>
    <w:rsid w:val="285445B2"/>
    <w:rsid w:val="28B70F69"/>
    <w:rsid w:val="28D24D9C"/>
    <w:rsid w:val="28F25980"/>
    <w:rsid w:val="28FE7045"/>
    <w:rsid w:val="2941798C"/>
    <w:rsid w:val="294C5129"/>
    <w:rsid w:val="295C70D0"/>
    <w:rsid w:val="295E4EA3"/>
    <w:rsid w:val="296F6FD1"/>
    <w:rsid w:val="2973261D"/>
    <w:rsid w:val="29C70BBB"/>
    <w:rsid w:val="29CD4E78"/>
    <w:rsid w:val="29E4351B"/>
    <w:rsid w:val="2A305480"/>
    <w:rsid w:val="2A3D2C2B"/>
    <w:rsid w:val="2A522B7B"/>
    <w:rsid w:val="2A8F70B0"/>
    <w:rsid w:val="2A9C3DF6"/>
    <w:rsid w:val="2AE43776"/>
    <w:rsid w:val="2B06015E"/>
    <w:rsid w:val="2B1D5459"/>
    <w:rsid w:val="2B276CB6"/>
    <w:rsid w:val="2B4F4ECF"/>
    <w:rsid w:val="2BA74026"/>
    <w:rsid w:val="2BD7530D"/>
    <w:rsid w:val="2C2263B3"/>
    <w:rsid w:val="2C9C2F72"/>
    <w:rsid w:val="2CC15D7F"/>
    <w:rsid w:val="2CD80A09"/>
    <w:rsid w:val="2CE83322"/>
    <w:rsid w:val="2D141CF6"/>
    <w:rsid w:val="2D502872"/>
    <w:rsid w:val="2D567CDD"/>
    <w:rsid w:val="2D63277A"/>
    <w:rsid w:val="2D764930"/>
    <w:rsid w:val="2D984126"/>
    <w:rsid w:val="2DB31BE6"/>
    <w:rsid w:val="2DBE22D5"/>
    <w:rsid w:val="2E0A4375"/>
    <w:rsid w:val="2E0C3040"/>
    <w:rsid w:val="2E0D52BF"/>
    <w:rsid w:val="2E3031D3"/>
    <w:rsid w:val="2E35623B"/>
    <w:rsid w:val="2E4E3659"/>
    <w:rsid w:val="2E6740D2"/>
    <w:rsid w:val="2EC138D2"/>
    <w:rsid w:val="2ED8288A"/>
    <w:rsid w:val="2EE205A6"/>
    <w:rsid w:val="2F18216E"/>
    <w:rsid w:val="2F1E127D"/>
    <w:rsid w:val="2F2969EB"/>
    <w:rsid w:val="2F2A27CB"/>
    <w:rsid w:val="2F401502"/>
    <w:rsid w:val="2F462582"/>
    <w:rsid w:val="2F5673B3"/>
    <w:rsid w:val="2F714B04"/>
    <w:rsid w:val="2F911FDB"/>
    <w:rsid w:val="2F920A3A"/>
    <w:rsid w:val="2FA34B91"/>
    <w:rsid w:val="2FED3439"/>
    <w:rsid w:val="2FFB71AB"/>
    <w:rsid w:val="300246FB"/>
    <w:rsid w:val="30064FDA"/>
    <w:rsid w:val="303773D1"/>
    <w:rsid w:val="30793AE8"/>
    <w:rsid w:val="307A49E5"/>
    <w:rsid w:val="30B55C11"/>
    <w:rsid w:val="31165933"/>
    <w:rsid w:val="316E7428"/>
    <w:rsid w:val="319B3695"/>
    <w:rsid w:val="31BF0E0A"/>
    <w:rsid w:val="31D976DD"/>
    <w:rsid w:val="32164205"/>
    <w:rsid w:val="32332253"/>
    <w:rsid w:val="324271A8"/>
    <w:rsid w:val="329D4BAF"/>
    <w:rsid w:val="32BD2B5B"/>
    <w:rsid w:val="32D10F12"/>
    <w:rsid w:val="32E53DDE"/>
    <w:rsid w:val="331D35FA"/>
    <w:rsid w:val="333B777A"/>
    <w:rsid w:val="333F226C"/>
    <w:rsid w:val="339A2E9C"/>
    <w:rsid w:val="33A51F6D"/>
    <w:rsid w:val="33C26030"/>
    <w:rsid w:val="33C547A5"/>
    <w:rsid w:val="33E86E49"/>
    <w:rsid w:val="34526CBA"/>
    <w:rsid w:val="349C315B"/>
    <w:rsid w:val="34B22DB1"/>
    <w:rsid w:val="34EA61B8"/>
    <w:rsid w:val="3518676F"/>
    <w:rsid w:val="35201A23"/>
    <w:rsid w:val="352E500F"/>
    <w:rsid w:val="355434F9"/>
    <w:rsid w:val="35727A6C"/>
    <w:rsid w:val="35843E04"/>
    <w:rsid w:val="358931C8"/>
    <w:rsid w:val="35B540D6"/>
    <w:rsid w:val="35BE0BED"/>
    <w:rsid w:val="35C66E2C"/>
    <w:rsid w:val="35CA2312"/>
    <w:rsid w:val="35F76384"/>
    <w:rsid w:val="361938E0"/>
    <w:rsid w:val="36413AA3"/>
    <w:rsid w:val="364C2F9C"/>
    <w:rsid w:val="364C6C07"/>
    <w:rsid w:val="366A124C"/>
    <w:rsid w:val="36C144C3"/>
    <w:rsid w:val="372633C5"/>
    <w:rsid w:val="37774A03"/>
    <w:rsid w:val="377C4EB7"/>
    <w:rsid w:val="37841E99"/>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D4138A"/>
    <w:rsid w:val="3AD76784"/>
    <w:rsid w:val="3AE758D2"/>
    <w:rsid w:val="3AF61300"/>
    <w:rsid w:val="3AF8151D"/>
    <w:rsid w:val="3B096510"/>
    <w:rsid w:val="3B135A0E"/>
    <w:rsid w:val="3B2E0A9A"/>
    <w:rsid w:val="3B3377A5"/>
    <w:rsid w:val="3B361C73"/>
    <w:rsid w:val="3B414529"/>
    <w:rsid w:val="3B47240E"/>
    <w:rsid w:val="3B5A188F"/>
    <w:rsid w:val="3B7C2F21"/>
    <w:rsid w:val="3B895CD0"/>
    <w:rsid w:val="3B8A41D3"/>
    <w:rsid w:val="3BC00DC4"/>
    <w:rsid w:val="3C0134A7"/>
    <w:rsid w:val="3C243C4B"/>
    <w:rsid w:val="3C4D6CFE"/>
    <w:rsid w:val="3C651D50"/>
    <w:rsid w:val="3C8666FD"/>
    <w:rsid w:val="3CA523B3"/>
    <w:rsid w:val="3CAF79B9"/>
    <w:rsid w:val="3CF7310E"/>
    <w:rsid w:val="3CFD709B"/>
    <w:rsid w:val="3D3103CE"/>
    <w:rsid w:val="3D341A5C"/>
    <w:rsid w:val="3D380260"/>
    <w:rsid w:val="3D4041F2"/>
    <w:rsid w:val="3D5B49D0"/>
    <w:rsid w:val="3D734E8A"/>
    <w:rsid w:val="3D805368"/>
    <w:rsid w:val="3D820C29"/>
    <w:rsid w:val="3DB57993"/>
    <w:rsid w:val="3DF132CA"/>
    <w:rsid w:val="3E103B9E"/>
    <w:rsid w:val="3E2829E9"/>
    <w:rsid w:val="3E5113D8"/>
    <w:rsid w:val="3E832EAB"/>
    <w:rsid w:val="3EBE76C5"/>
    <w:rsid w:val="3ECC22A5"/>
    <w:rsid w:val="3EDA4CBD"/>
    <w:rsid w:val="3EDB2CE7"/>
    <w:rsid w:val="3F1E0E25"/>
    <w:rsid w:val="3F3E1D92"/>
    <w:rsid w:val="3F3E3276"/>
    <w:rsid w:val="3FA70E1B"/>
    <w:rsid w:val="3FB452E6"/>
    <w:rsid w:val="3FB5178A"/>
    <w:rsid w:val="3FF744E4"/>
    <w:rsid w:val="40077B0C"/>
    <w:rsid w:val="40290860"/>
    <w:rsid w:val="40297A82"/>
    <w:rsid w:val="402B37FA"/>
    <w:rsid w:val="403D54CD"/>
    <w:rsid w:val="405F2DDF"/>
    <w:rsid w:val="406D41CF"/>
    <w:rsid w:val="407707ED"/>
    <w:rsid w:val="408028ED"/>
    <w:rsid w:val="40C7284E"/>
    <w:rsid w:val="40D665AC"/>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8445FE"/>
    <w:rsid w:val="42A35E1F"/>
    <w:rsid w:val="42E414A5"/>
    <w:rsid w:val="42ED38B0"/>
    <w:rsid w:val="430239C6"/>
    <w:rsid w:val="435F025C"/>
    <w:rsid w:val="43676230"/>
    <w:rsid w:val="442716E3"/>
    <w:rsid w:val="442A3DC9"/>
    <w:rsid w:val="443A04B0"/>
    <w:rsid w:val="445A35AB"/>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9303C7"/>
    <w:rsid w:val="46B5206F"/>
    <w:rsid w:val="46CA0775"/>
    <w:rsid w:val="46D53D73"/>
    <w:rsid w:val="471825FE"/>
    <w:rsid w:val="475036EC"/>
    <w:rsid w:val="476304E5"/>
    <w:rsid w:val="477C1FA4"/>
    <w:rsid w:val="47BE4F54"/>
    <w:rsid w:val="483D1893"/>
    <w:rsid w:val="48407E8B"/>
    <w:rsid w:val="48492B5E"/>
    <w:rsid w:val="486A70F8"/>
    <w:rsid w:val="48855A71"/>
    <w:rsid w:val="48941C0A"/>
    <w:rsid w:val="48D016B1"/>
    <w:rsid w:val="48EB621C"/>
    <w:rsid w:val="48EF63BC"/>
    <w:rsid w:val="48F03833"/>
    <w:rsid w:val="49143FE3"/>
    <w:rsid w:val="49410045"/>
    <w:rsid w:val="497B5EAF"/>
    <w:rsid w:val="49920190"/>
    <w:rsid w:val="49BB5BEF"/>
    <w:rsid w:val="49E550B8"/>
    <w:rsid w:val="4A235542"/>
    <w:rsid w:val="4A304D72"/>
    <w:rsid w:val="4A901749"/>
    <w:rsid w:val="4ABD50B2"/>
    <w:rsid w:val="4ADA08DD"/>
    <w:rsid w:val="4AF53CDA"/>
    <w:rsid w:val="4B302190"/>
    <w:rsid w:val="4B4B4D50"/>
    <w:rsid w:val="4B920BD1"/>
    <w:rsid w:val="4BBA3C84"/>
    <w:rsid w:val="4BCD1E1A"/>
    <w:rsid w:val="4C0D05F0"/>
    <w:rsid w:val="4C336232"/>
    <w:rsid w:val="4C4321BE"/>
    <w:rsid w:val="4C4D68A6"/>
    <w:rsid w:val="4C5440D8"/>
    <w:rsid w:val="4C5B1CC0"/>
    <w:rsid w:val="4C6063F0"/>
    <w:rsid w:val="4C8921FB"/>
    <w:rsid w:val="4CDE25B8"/>
    <w:rsid w:val="4D031C9B"/>
    <w:rsid w:val="4D237C5B"/>
    <w:rsid w:val="4D4C1815"/>
    <w:rsid w:val="4D6E195B"/>
    <w:rsid w:val="4D882C83"/>
    <w:rsid w:val="4DB33731"/>
    <w:rsid w:val="4DB34E9F"/>
    <w:rsid w:val="4DD45985"/>
    <w:rsid w:val="4DDE57A5"/>
    <w:rsid w:val="4DE4323A"/>
    <w:rsid w:val="4DED5CE9"/>
    <w:rsid w:val="4DFC7AC5"/>
    <w:rsid w:val="4E015B9A"/>
    <w:rsid w:val="4E040F77"/>
    <w:rsid w:val="4E0D2791"/>
    <w:rsid w:val="4E381FE7"/>
    <w:rsid w:val="4E7D3760"/>
    <w:rsid w:val="4EF15C0F"/>
    <w:rsid w:val="4F0478A8"/>
    <w:rsid w:val="4F0E4A13"/>
    <w:rsid w:val="4F245FE4"/>
    <w:rsid w:val="4F570614"/>
    <w:rsid w:val="4F7A3E56"/>
    <w:rsid w:val="4F7E3AF1"/>
    <w:rsid w:val="4FC66123"/>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874B5C"/>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441F96"/>
    <w:rsid w:val="53807F59"/>
    <w:rsid w:val="53966D81"/>
    <w:rsid w:val="53C77F81"/>
    <w:rsid w:val="549A6B3D"/>
    <w:rsid w:val="549C03CB"/>
    <w:rsid w:val="54C469B0"/>
    <w:rsid w:val="54CD2C7A"/>
    <w:rsid w:val="54E35FFA"/>
    <w:rsid w:val="54F71AA5"/>
    <w:rsid w:val="551254D1"/>
    <w:rsid w:val="55164621"/>
    <w:rsid w:val="55184EF2"/>
    <w:rsid w:val="551A6A20"/>
    <w:rsid w:val="55240296"/>
    <w:rsid w:val="5579070C"/>
    <w:rsid w:val="557F5C64"/>
    <w:rsid w:val="55CE5FAF"/>
    <w:rsid w:val="55D65B5E"/>
    <w:rsid w:val="55FF50B5"/>
    <w:rsid w:val="563E671E"/>
    <w:rsid w:val="5647080A"/>
    <w:rsid w:val="56695122"/>
    <w:rsid w:val="567C6706"/>
    <w:rsid w:val="568D4A8B"/>
    <w:rsid w:val="56AD68BF"/>
    <w:rsid w:val="56E322E1"/>
    <w:rsid w:val="56F72C39"/>
    <w:rsid w:val="5741059C"/>
    <w:rsid w:val="5787376C"/>
    <w:rsid w:val="579B705F"/>
    <w:rsid w:val="57EC71D5"/>
    <w:rsid w:val="581A249A"/>
    <w:rsid w:val="58340631"/>
    <w:rsid w:val="588621CE"/>
    <w:rsid w:val="588927B2"/>
    <w:rsid w:val="58A14202"/>
    <w:rsid w:val="58AC03AC"/>
    <w:rsid w:val="58B3037A"/>
    <w:rsid w:val="58B946E8"/>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B5C08"/>
    <w:rsid w:val="5AED4C1B"/>
    <w:rsid w:val="5B2D4472"/>
    <w:rsid w:val="5BA52831"/>
    <w:rsid w:val="5BC0596D"/>
    <w:rsid w:val="5BE5635E"/>
    <w:rsid w:val="5BE74621"/>
    <w:rsid w:val="5C03587B"/>
    <w:rsid w:val="5C082ED9"/>
    <w:rsid w:val="5C453255"/>
    <w:rsid w:val="5C4805D9"/>
    <w:rsid w:val="5C482D1B"/>
    <w:rsid w:val="5C7236C4"/>
    <w:rsid w:val="5C8C4DD7"/>
    <w:rsid w:val="5CAD7A90"/>
    <w:rsid w:val="5CB82BDC"/>
    <w:rsid w:val="5CBA0A27"/>
    <w:rsid w:val="5CE24F97"/>
    <w:rsid w:val="5CEC3B27"/>
    <w:rsid w:val="5CF24CF3"/>
    <w:rsid w:val="5D047455"/>
    <w:rsid w:val="5D2B0DDD"/>
    <w:rsid w:val="5D656145"/>
    <w:rsid w:val="5D804893"/>
    <w:rsid w:val="5DA53F1B"/>
    <w:rsid w:val="5DA54794"/>
    <w:rsid w:val="5DC63FF9"/>
    <w:rsid w:val="5EDB472C"/>
    <w:rsid w:val="5F11214B"/>
    <w:rsid w:val="5F4571B2"/>
    <w:rsid w:val="5F4F2373"/>
    <w:rsid w:val="5F6A078D"/>
    <w:rsid w:val="5F9A7BFD"/>
    <w:rsid w:val="5FA23A48"/>
    <w:rsid w:val="5FB36CBE"/>
    <w:rsid w:val="5FC627A0"/>
    <w:rsid w:val="5FD076A0"/>
    <w:rsid w:val="5FDD5177"/>
    <w:rsid w:val="5FED36FB"/>
    <w:rsid w:val="60000E7D"/>
    <w:rsid w:val="60353504"/>
    <w:rsid w:val="606F72DB"/>
    <w:rsid w:val="60A63A53"/>
    <w:rsid w:val="60BC5E8F"/>
    <w:rsid w:val="60CC0666"/>
    <w:rsid w:val="610E27AB"/>
    <w:rsid w:val="611511C3"/>
    <w:rsid w:val="61393910"/>
    <w:rsid w:val="61446072"/>
    <w:rsid w:val="61710A64"/>
    <w:rsid w:val="61D84352"/>
    <w:rsid w:val="61DA4AD9"/>
    <w:rsid w:val="61F335F4"/>
    <w:rsid w:val="61F56810"/>
    <w:rsid w:val="62371BE3"/>
    <w:rsid w:val="623D3E1F"/>
    <w:rsid w:val="6256605D"/>
    <w:rsid w:val="62626313"/>
    <w:rsid w:val="629D4803"/>
    <w:rsid w:val="62A768B8"/>
    <w:rsid w:val="62A84DE7"/>
    <w:rsid w:val="62AE498D"/>
    <w:rsid w:val="62ED1A72"/>
    <w:rsid w:val="637F5A87"/>
    <w:rsid w:val="638048A2"/>
    <w:rsid w:val="63830E88"/>
    <w:rsid w:val="638A2399"/>
    <w:rsid w:val="63961533"/>
    <w:rsid w:val="63D57455"/>
    <w:rsid w:val="63EF2CB1"/>
    <w:rsid w:val="63EF49BB"/>
    <w:rsid w:val="63F74842"/>
    <w:rsid w:val="63FF44D2"/>
    <w:rsid w:val="64077840"/>
    <w:rsid w:val="641504F8"/>
    <w:rsid w:val="643A375C"/>
    <w:rsid w:val="64601415"/>
    <w:rsid w:val="64774677"/>
    <w:rsid w:val="64AB0CD1"/>
    <w:rsid w:val="64C96613"/>
    <w:rsid w:val="64D84E1A"/>
    <w:rsid w:val="65312DB1"/>
    <w:rsid w:val="6558033E"/>
    <w:rsid w:val="656606E0"/>
    <w:rsid w:val="65675ED4"/>
    <w:rsid w:val="658C2053"/>
    <w:rsid w:val="65EB11B2"/>
    <w:rsid w:val="662F1CBC"/>
    <w:rsid w:val="66491353"/>
    <w:rsid w:val="66576847"/>
    <w:rsid w:val="6683497C"/>
    <w:rsid w:val="668A4527"/>
    <w:rsid w:val="66B21CD0"/>
    <w:rsid w:val="66B477F6"/>
    <w:rsid w:val="66BD399D"/>
    <w:rsid w:val="66E872A7"/>
    <w:rsid w:val="676E5CC7"/>
    <w:rsid w:val="67E14BAB"/>
    <w:rsid w:val="67EE0AE5"/>
    <w:rsid w:val="67F71E56"/>
    <w:rsid w:val="683A3D2B"/>
    <w:rsid w:val="684C44B3"/>
    <w:rsid w:val="686F60CA"/>
    <w:rsid w:val="68880F3A"/>
    <w:rsid w:val="68CA5B8B"/>
    <w:rsid w:val="690F1726"/>
    <w:rsid w:val="691922CA"/>
    <w:rsid w:val="6942765C"/>
    <w:rsid w:val="69D8608D"/>
    <w:rsid w:val="6A2D5CB0"/>
    <w:rsid w:val="6A4D2110"/>
    <w:rsid w:val="6A663992"/>
    <w:rsid w:val="6A7D0A56"/>
    <w:rsid w:val="6AB10CF8"/>
    <w:rsid w:val="6ABA6C3B"/>
    <w:rsid w:val="6B4078AA"/>
    <w:rsid w:val="6B4663C9"/>
    <w:rsid w:val="6B7B7F55"/>
    <w:rsid w:val="6B981494"/>
    <w:rsid w:val="6BA57CEF"/>
    <w:rsid w:val="6BB90159"/>
    <w:rsid w:val="6BC633B9"/>
    <w:rsid w:val="6BCC3834"/>
    <w:rsid w:val="6BD36FF6"/>
    <w:rsid w:val="6BD84130"/>
    <w:rsid w:val="6C111246"/>
    <w:rsid w:val="6C124248"/>
    <w:rsid w:val="6C6B059F"/>
    <w:rsid w:val="6C8E6D3B"/>
    <w:rsid w:val="6C9555FE"/>
    <w:rsid w:val="6CA00B62"/>
    <w:rsid w:val="6CBD4F2A"/>
    <w:rsid w:val="6CFE27E3"/>
    <w:rsid w:val="6D274D94"/>
    <w:rsid w:val="6D794C63"/>
    <w:rsid w:val="6D8C026B"/>
    <w:rsid w:val="6D955447"/>
    <w:rsid w:val="6D9E2EF6"/>
    <w:rsid w:val="6DAD3879"/>
    <w:rsid w:val="6DBE2492"/>
    <w:rsid w:val="6DD01AB0"/>
    <w:rsid w:val="6DD857F0"/>
    <w:rsid w:val="6DDD7632"/>
    <w:rsid w:val="6DE94229"/>
    <w:rsid w:val="6DEB139F"/>
    <w:rsid w:val="6DF350A8"/>
    <w:rsid w:val="6E4A3AA9"/>
    <w:rsid w:val="6E557B10"/>
    <w:rsid w:val="6E62222D"/>
    <w:rsid w:val="6E741A47"/>
    <w:rsid w:val="6E846891"/>
    <w:rsid w:val="6E8626A0"/>
    <w:rsid w:val="6E8B3FD1"/>
    <w:rsid w:val="6E9D5013"/>
    <w:rsid w:val="6E9E14B7"/>
    <w:rsid w:val="6EB34837"/>
    <w:rsid w:val="6EB84DF6"/>
    <w:rsid w:val="6EC73382"/>
    <w:rsid w:val="6EDB181C"/>
    <w:rsid w:val="6F0843FC"/>
    <w:rsid w:val="6F0C014F"/>
    <w:rsid w:val="6F0D11E7"/>
    <w:rsid w:val="6F1D644C"/>
    <w:rsid w:val="6F4D02A4"/>
    <w:rsid w:val="6F793947"/>
    <w:rsid w:val="6FB72105"/>
    <w:rsid w:val="6FC83DE4"/>
    <w:rsid w:val="6FD9651F"/>
    <w:rsid w:val="6FDB4045"/>
    <w:rsid w:val="6FDB7D0C"/>
    <w:rsid w:val="6FDC23B5"/>
    <w:rsid w:val="701362DC"/>
    <w:rsid w:val="70344499"/>
    <w:rsid w:val="705D0EFE"/>
    <w:rsid w:val="7060279C"/>
    <w:rsid w:val="706B3710"/>
    <w:rsid w:val="706B4417"/>
    <w:rsid w:val="70784F6A"/>
    <w:rsid w:val="70AD066D"/>
    <w:rsid w:val="70B2470E"/>
    <w:rsid w:val="70B46822"/>
    <w:rsid w:val="70D77260"/>
    <w:rsid w:val="70E67235"/>
    <w:rsid w:val="710377E1"/>
    <w:rsid w:val="713117D3"/>
    <w:rsid w:val="713F23B2"/>
    <w:rsid w:val="715F2A54"/>
    <w:rsid w:val="716B6774"/>
    <w:rsid w:val="716B764B"/>
    <w:rsid w:val="716F2C97"/>
    <w:rsid w:val="71817101"/>
    <w:rsid w:val="71943263"/>
    <w:rsid w:val="71A10531"/>
    <w:rsid w:val="71B80224"/>
    <w:rsid w:val="71CF7BDA"/>
    <w:rsid w:val="71DD7BCE"/>
    <w:rsid w:val="71DE09E8"/>
    <w:rsid w:val="720B21A0"/>
    <w:rsid w:val="72231CD3"/>
    <w:rsid w:val="72414B2C"/>
    <w:rsid w:val="724265FE"/>
    <w:rsid w:val="725956F5"/>
    <w:rsid w:val="72771820"/>
    <w:rsid w:val="72775B5D"/>
    <w:rsid w:val="72B1108D"/>
    <w:rsid w:val="72E163D5"/>
    <w:rsid w:val="73010267"/>
    <w:rsid w:val="730651BF"/>
    <w:rsid w:val="732C1100"/>
    <w:rsid w:val="73400A3E"/>
    <w:rsid w:val="734D2E7F"/>
    <w:rsid w:val="735D7E91"/>
    <w:rsid w:val="737A5923"/>
    <w:rsid w:val="7395275D"/>
    <w:rsid w:val="73CF6471"/>
    <w:rsid w:val="73F118A1"/>
    <w:rsid w:val="740A17EE"/>
    <w:rsid w:val="74701DBB"/>
    <w:rsid w:val="74956EB9"/>
    <w:rsid w:val="7496678D"/>
    <w:rsid w:val="749E5641"/>
    <w:rsid w:val="74D15DE2"/>
    <w:rsid w:val="74E017E0"/>
    <w:rsid w:val="74E54A40"/>
    <w:rsid w:val="74EE7509"/>
    <w:rsid w:val="751002ED"/>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D635FC"/>
    <w:rsid w:val="78E40FA3"/>
    <w:rsid w:val="79126B5D"/>
    <w:rsid w:val="791E0B39"/>
    <w:rsid w:val="79487052"/>
    <w:rsid w:val="79586707"/>
    <w:rsid w:val="79941F77"/>
    <w:rsid w:val="79B63BEA"/>
    <w:rsid w:val="79BE0C60"/>
    <w:rsid w:val="79C218C0"/>
    <w:rsid w:val="79E06FD9"/>
    <w:rsid w:val="79F006ED"/>
    <w:rsid w:val="79F53437"/>
    <w:rsid w:val="79FF6565"/>
    <w:rsid w:val="7A144B1A"/>
    <w:rsid w:val="7A2B3BCE"/>
    <w:rsid w:val="7A7430CC"/>
    <w:rsid w:val="7A80169B"/>
    <w:rsid w:val="7A962ADA"/>
    <w:rsid w:val="7AB47414"/>
    <w:rsid w:val="7AB95FF1"/>
    <w:rsid w:val="7AC3206E"/>
    <w:rsid w:val="7AC51215"/>
    <w:rsid w:val="7AE446F6"/>
    <w:rsid w:val="7AFF6ACD"/>
    <w:rsid w:val="7B0326A2"/>
    <w:rsid w:val="7B0F54EB"/>
    <w:rsid w:val="7B436E21"/>
    <w:rsid w:val="7B54666E"/>
    <w:rsid w:val="7B5B0429"/>
    <w:rsid w:val="7B615E02"/>
    <w:rsid w:val="7BBC6B0F"/>
    <w:rsid w:val="7BF1357F"/>
    <w:rsid w:val="7BFA5853"/>
    <w:rsid w:val="7C1F52BA"/>
    <w:rsid w:val="7C4A2065"/>
    <w:rsid w:val="7C5C02BC"/>
    <w:rsid w:val="7C796F1F"/>
    <w:rsid w:val="7C855349"/>
    <w:rsid w:val="7CAA6238"/>
    <w:rsid w:val="7CF93E5A"/>
    <w:rsid w:val="7CFE65CC"/>
    <w:rsid w:val="7D085F7C"/>
    <w:rsid w:val="7D404FB3"/>
    <w:rsid w:val="7D8C697F"/>
    <w:rsid w:val="7DA02855"/>
    <w:rsid w:val="7DBE3A17"/>
    <w:rsid w:val="7DC73E5B"/>
    <w:rsid w:val="7DC73F51"/>
    <w:rsid w:val="7E0B1DFF"/>
    <w:rsid w:val="7E134C71"/>
    <w:rsid w:val="7E2352CD"/>
    <w:rsid w:val="7E2A3C98"/>
    <w:rsid w:val="7E5043EB"/>
    <w:rsid w:val="7E525E1A"/>
    <w:rsid w:val="7E604231"/>
    <w:rsid w:val="7E81400A"/>
    <w:rsid w:val="7EB34E00"/>
    <w:rsid w:val="7EF2571C"/>
    <w:rsid w:val="7F107F87"/>
    <w:rsid w:val="7F210F90"/>
    <w:rsid w:val="7F3405C5"/>
    <w:rsid w:val="7F361298"/>
    <w:rsid w:val="7F837A13"/>
    <w:rsid w:val="7F9F2560"/>
    <w:rsid w:val="7FA24979"/>
    <w:rsid w:val="7FEF15D8"/>
    <w:rsid w:val="7FF607AF"/>
    <w:rsid w:val="7FF60A2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toa heading"/>
    <w:basedOn w:val="1"/>
    <w:next w:val="1"/>
    <w:unhideWhenUsed/>
    <w:qFormat/>
    <w:uiPriority w:val="0"/>
    <w:pPr>
      <w:spacing w:beforeLines="0" w:afterLines="0"/>
    </w:pPr>
    <w:rPr>
      <w:rFonts w:hint="default" w:ascii="Arial" w:hAnsi="Arial" w:eastAsia="宋体"/>
      <w:sz w:val="24"/>
      <w:szCs w:val="24"/>
    </w:rPr>
  </w:style>
  <w:style w:type="paragraph" w:styleId="8">
    <w:name w:val="Body Text"/>
    <w:basedOn w:val="1"/>
    <w:next w:val="9"/>
    <w:qFormat/>
    <w:uiPriority w:val="0"/>
    <w:pPr>
      <w:spacing w:after="120"/>
    </w:pPr>
  </w:style>
  <w:style w:type="paragraph" w:styleId="9">
    <w:name w:val="header"/>
    <w:basedOn w:val="1"/>
    <w:next w:val="10"/>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4469</Words>
  <Characters>4803</Characters>
  <Lines>1</Lines>
  <Paragraphs>1</Paragraphs>
  <TotalTime>0</TotalTime>
  <ScaleCrop>false</ScaleCrop>
  <LinksUpToDate>false</LinksUpToDate>
  <CharactersWithSpaces>7128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2025-07-18T03:56:00Z</cp:lastPrinted>
  <dcterms:modified xsi:type="dcterms:W3CDTF">2025-09-25T14:15:40Z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E12CE48524F8425892980F3E44F36A79_13</vt:lpwstr>
  </property>
  <property fmtid="{D5CDD505-2E9C-101B-9397-08002B2CF9AE}" pid="4" name="KSOTemplateDocerSaveRecord">
    <vt:lpwstr>eyJoZGlkIjoiNGRiN2FjM2IwNjUxZWRiZTZhMTg1YTdmYzFhZWExNzgiLCJ1c2VySWQiOiI0MDU4NDYwODgifQ==</vt:lpwstr>
  </property>
</Properties>
</file>