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合肥市包河区BH202437号地块装饰不锈钢及玻璃制品采购及安装项目</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p>
    <w:p w14:paraId="3B3B930E">
      <w:pPr>
        <w:spacing w:line="540" w:lineRule="exact"/>
        <w:ind w:firstLine="420"/>
        <w:rPr>
          <w:rFonts w:hint="eastAsia" w:ascii="Times New Roman" w:hAnsi="Times New Roman" w:cs="Times New Roman" w:eastAsiaTheme="minorEastAsia"/>
          <w:color w:val="auto"/>
          <w:szCs w:val="21"/>
          <w:highlight w:val="none"/>
          <w:lang w:val="en-US" w:eastAsia="zh-CN"/>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9"/>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2025</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11</w:t>
      </w:r>
      <w:r>
        <w:rPr>
          <w:rFonts w:hint="eastAsia" w:ascii="黑体" w:hAnsi="黑体" w:eastAsia="黑体" w:cs="黑体"/>
          <w:color w:val="auto"/>
          <w:sz w:val="32"/>
          <w:szCs w:val="32"/>
          <w:highlight w:val="none"/>
        </w:rPr>
        <w:t>月</w:t>
      </w:r>
    </w:p>
    <w:p w14:paraId="76D6F35A">
      <w:pPr>
        <w:pStyle w:val="8"/>
        <w:rPr>
          <w:rFonts w:hint="eastAsia" w:ascii="黑体" w:hAnsi="黑体" w:eastAsia="黑体" w:cs="黑体"/>
          <w:color w:val="auto"/>
          <w:sz w:val="32"/>
          <w:szCs w:val="32"/>
          <w:highlight w:val="none"/>
        </w:rPr>
      </w:pPr>
    </w:p>
    <w:p w14:paraId="02CB63D9">
      <w:pPr>
        <w:pStyle w:val="9"/>
        <w:rPr>
          <w:rFonts w:hint="eastAsia"/>
          <w:color w:val="auto"/>
          <w:highlight w:val="none"/>
        </w:rPr>
      </w:pP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5C62182C">
          <w:pPr>
            <w:pStyle w:val="15"/>
            <w:tabs>
              <w:tab w:val="right" w:leader="dot" w:pos="8312"/>
            </w:tabs>
            <w:rPr>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_Toc22532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第一章 </w:t>
          </w:r>
          <w:r>
            <w:rPr>
              <w:rFonts w:ascii="Times New Roman" w:hAnsi="Times New Roman" w:eastAsia="宋体" w:cs="Times New Roman"/>
              <w:color w:val="auto"/>
              <w:highlight w:val="none"/>
            </w:rPr>
            <w:t>采购公告</w:t>
          </w:r>
          <w:r>
            <w:rPr>
              <w:color w:val="auto"/>
              <w:highlight w:val="none"/>
            </w:rPr>
            <w:tab/>
          </w:r>
          <w:r>
            <w:rPr>
              <w:color w:val="auto"/>
              <w:highlight w:val="none"/>
            </w:rPr>
            <w:fldChar w:fldCharType="begin"/>
          </w:r>
          <w:r>
            <w:rPr>
              <w:color w:val="auto"/>
              <w:highlight w:val="none"/>
            </w:rPr>
            <w:instrText xml:space="preserve"> PAGEREF _Toc22532 \h </w:instrText>
          </w:r>
          <w:r>
            <w:rPr>
              <w:color w:val="auto"/>
              <w:highlight w:val="none"/>
            </w:rPr>
            <w:fldChar w:fldCharType="separate"/>
          </w:r>
          <w:r>
            <w:rPr>
              <w:color w:val="auto"/>
              <w:highlight w:val="none"/>
            </w:rPr>
            <w:t>3</w:t>
          </w:r>
          <w:r>
            <w:rPr>
              <w:color w:val="auto"/>
              <w:highlight w:val="none"/>
            </w:rPr>
            <w:fldChar w:fldCharType="end"/>
          </w:r>
          <w:r>
            <w:rPr>
              <w:rFonts w:hint="eastAsia" w:ascii="宋体" w:hAnsi="宋体" w:eastAsia="宋体" w:cs="宋体"/>
              <w:color w:val="auto"/>
              <w:szCs w:val="24"/>
              <w:highlight w:val="none"/>
            </w:rPr>
            <w:fldChar w:fldCharType="end"/>
          </w:r>
        </w:p>
        <w:p w14:paraId="1E98A35A">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_Toc21446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第二章 </w:t>
          </w:r>
          <w:r>
            <w:rPr>
              <w:rFonts w:ascii="Times New Roman" w:hAnsi="Times New Roman" w:eastAsia="宋体" w:cs="Times New Roman"/>
              <w:color w:val="auto"/>
              <w:highlight w:val="none"/>
            </w:rPr>
            <w:t>供应商须知</w:t>
          </w:r>
          <w:r>
            <w:rPr>
              <w:color w:val="auto"/>
              <w:highlight w:val="none"/>
            </w:rPr>
            <w:tab/>
          </w:r>
          <w:r>
            <w:rPr>
              <w:color w:val="auto"/>
              <w:highlight w:val="none"/>
            </w:rPr>
            <w:fldChar w:fldCharType="begin"/>
          </w:r>
          <w:r>
            <w:rPr>
              <w:color w:val="auto"/>
              <w:highlight w:val="none"/>
            </w:rPr>
            <w:instrText xml:space="preserve"> PAGEREF _Toc21446 \h </w:instrText>
          </w:r>
          <w:r>
            <w:rPr>
              <w:color w:val="auto"/>
              <w:highlight w:val="none"/>
            </w:rPr>
            <w:fldChar w:fldCharType="separate"/>
          </w:r>
          <w:r>
            <w:rPr>
              <w:color w:val="auto"/>
              <w:highlight w:val="none"/>
            </w:rPr>
            <w:t>7</w:t>
          </w:r>
          <w:r>
            <w:rPr>
              <w:color w:val="auto"/>
              <w:highlight w:val="none"/>
            </w:rPr>
            <w:fldChar w:fldCharType="end"/>
          </w:r>
          <w:r>
            <w:rPr>
              <w:rFonts w:hint="eastAsia" w:ascii="宋体" w:hAnsi="宋体" w:eastAsia="宋体" w:cs="宋体"/>
              <w:color w:val="auto"/>
              <w:szCs w:val="24"/>
              <w:highlight w:val="none"/>
            </w:rPr>
            <w:fldChar w:fldCharType="end"/>
          </w:r>
        </w:p>
        <w:p w14:paraId="136F7AD7">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_Toc13134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rPr>
            <w:t xml:space="preserve">第三章 </w:t>
          </w:r>
          <w:r>
            <w:rPr>
              <w:rFonts w:ascii="Times New Roman" w:hAnsi="Times New Roman" w:eastAsia="宋体" w:cs="Times New Roman"/>
              <w:color w:val="auto"/>
              <w:highlight w:val="none"/>
            </w:rPr>
            <w:t>评审办法</w:t>
          </w:r>
          <w:r>
            <w:rPr>
              <w:color w:val="auto"/>
              <w:highlight w:val="none"/>
            </w:rPr>
            <w:tab/>
          </w:r>
          <w:r>
            <w:rPr>
              <w:color w:val="auto"/>
              <w:highlight w:val="none"/>
            </w:rPr>
            <w:fldChar w:fldCharType="begin"/>
          </w:r>
          <w:r>
            <w:rPr>
              <w:color w:val="auto"/>
              <w:highlight w:val="none"/>
            </w:rPr>
            <w:instrText xml:space="preserve"> PAGEREF _Toc13134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szCs w:val="24"/>
              <w:highlight w:val="none"/>
            </w:rPr>
            <w:fldChar w:fldCharType="end"/>
          </w:r>
        </w:p>
        <w:p w14:paraId="6B2AA456">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_Toc14908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r>
            <w:rPr>
              <w:color w:val="auto"/>
              <w:highlight w:val="none"/>
            </w:rPr>
            <w:tab/>
          </w:r>
          <w:r>
            <w:rPr>
              <w:color w:val="auto"/>
              <w:highlight w:val="none"/>
            </w:rPr>
            <w:fldChar w:fldCharType="begin"/>
          </w:r>
          <w:r>
            <w:rPr>
              <w:color w:val="auto"/>
              <w:highlight w:val="none"/>
            </w:rPr>
            <w:instrText xml:space="preserve"> PAGEREF _Toc14908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szCs w:val="24"/>
              <w:highlight w:val="none"/>
            </w:rPr>
            <w:fldChar w:fldCharType="end"/>
          </w:r>
        </w:p>
        <w:p w14:paraId="4F0E5480">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_Toc6933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第五章 采购需求及清单</w:t>
          </w:r>
          <w:r>
            <w:rPr>
              <w:color w:val="auto"/>
              <w:highlight w:val="none"/>
            </w:rPr>
            <w:tab/>
          </w:r>
          <w:r>
            <w:rPr>
              <w:color w:val="auto"/>
              <w:highlight w:val="none"/>
            </w:rPr>
            <w:fldChar w:fldCharType="begin"/>
          </w:r>
          <w:r>
            <w:rPr>
              <w:color w:val="auto"/>
              <w:highlight w:val="none"/>
            </w:rPr>
            <w:instrText xml:space="preserve"> PAGEREF _Toc6933 \h </w:instrText>
          </w:r>
          <w:r>
            <w:rPr>
              <w:color w:val="auto"/>
              <w:highlight w:val="none"/>
            </w:rPr>
            <w:fldChar w:fldCharType="separate"/>
          </w:r>
          <w:r>
            <w:rPr>
              <w:color w:val="auto"/>
              <w:highlight w:val="none"/>
            </w:rPr>
            <w:t>45</w:t>
          </w:r>
          <w:r>
            <w:rPr>
              <w:color w:val="auto"/>
              <w:highlight w:val="none"/>
            </w:rPr>
            <w:fldChar w:fldCharType="end"/>
          </w:r>
          <w:r>
            <w:rPr>
              <w:rFonts w:hint="eastAsia" w:ascii="宋体" w:hAnsi="宋体" w:eastAsia="宋体" w:cs="宋体"/>
              <w:color w:val="auto"/>
              <w:szCs w:val="24"/>
              <w:highlight w:val="none"/>
            </w:rPr>
            <w:fldChar w:fldCharType="end"/>
          </w:r>
        </w:p>
        <w:p w14:paraId="0E080170">
          <w:pPr>
            <w:pStyle w:val="15"/>
            <w:tabs>
              <w:tab w:val="right" w:leader="dot" w:pos="8312"/>
            </w:tabs>
            <w:rPr>
              <w:color w:val="auto"/>
              <w:highlight w:val="none"/>
            </w:rPr>
          </w:pPr>
          <w:r>
            <w:rPr>
              <w:rFonts w:hint="eastAsia" w:ascii="宋体" w:hAnsi="宋体" w:eastAsia="宋体" w:cs="宋体"/>
              <w:color w:val="auto"/>
              <w:szCs w:val="24"/>
              <w:highlight w:val="none"/>
            </w:rPr>
            <w:fldChar w:fldCharType="begin"/>
          </w:r>
          <w:r>
            <w:rPr>
              <w:rFonts w:hint="eastAsia" w:ascii="宋体" w:hAnsi="宋体" w:eastAsia="宋体" w:cs="宋体"/>
              <w:color w:val="auto"/>
              <w:szCs w:val="24"/>
              <w:highlight w:val="none"/>
            </w:rPr>
            <w:instrText xml:space="preserve"> HYPERLINK \l _Toc9484 </w:instrText>
          </w:r>
          <w:r>
            <w:rPr>
              <w:rFonts w:hint="eastAsia" w:ascii="宋体" w:hAnsi="宋体" w:eastAsia="宋体" w:cs="宋体"/>
              <w:color w:val="auto"/>
              <w:szCs w:val="24"/>
              <w:highlight w:val="none"/>
            </w:rPr>
            <w:fldChar w:fldCharType="separate"/>
          </w: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_Toc9484 \h </w:instrText>
          </w:r>
          <w:r>
            <w:rPr>
              <w:color w:val="auto"/>
              <w:highlight w:val="none"/>
            </w:rPr>
            <w:fldChar w:fldCharType="separate"/>
          </w:r>
          <w:r>
            <w:rPr>
              <w:color w:val="auto"/>
              <w:highlight w:val="none"/>
            </w:rPr>
            <w:t>47</w:t>
          </w:r>
          <w:r>
            <w:rPr>
              <w:color w:val="auto"/>
              <w:highlight w:val="none"/>
            </w:rPr>
            <w:fldChar w:fldCharType="end"/>
          </w:r>
          <w:r>
            <w:rPr>
              <w:rFonts w:hint="eastAsia" w:ascii="宋体" w:hAnsi="宋体" w:eastAsia="宋体" w:cs="宋体"/>
              <w:color w:val="auto"/>
              <w:szCs w:val="24"/>
              <w:highlight w:val="none"/>
            </w:rPr>
            <w:fldChar w:fldCharType="end"/>
          </w:r>
        </w:p>
        <w:p w14:paraId="72646A1B">
          <w:pPr>
            <w:pStyle w:val="15"/>
            <w:tabs>
              <w:tab w:val="right" w:leader="dot" w:pos="8312"/>
            </w:tabs>
            <w:rPr>
              <w:color w:val="auto"/>
              <w:highlight w:val="none"/>
            </w:rPr>
          </w:pP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658B04D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22532"/>
      <w:r>
        <w:rPr>
          <w:rFonts w:ascii="Times New Roman" w:hAnsi="Times New Roman" w:eastAsia="宋体" w:cs="Times New Roman"/>
          <w:color w:val="auto"/>
          <w:highlight w:val="none"/>
        </w:rPr>
        <w:t>采购公告</w:t>
      </w:r>
      <w:bookmarkEnd w:id="0"/>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二次</w:t>
      </w:r>
      <w:r>
        <w:rPr>
          <w:rFonts w:hint="eastAsia" w:ascii="Times New Roman" w:hAnsi="Times New Roman" w:eastAsia="宋体" w:cs="Times New Roman"/>
          <w:color w:val="auto"/>
          <w:highlight w:val="none"/>
          <w:lang w:eastAsia="zh-CN"/>
        </w:rPr>
        <w:t>）</w:t>
      </w:r>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24354_WPSOffice_Level2"/>
      <w:bookmarkStart w:id="2" w:name="_Toc10395_WPSOffice_Level2"/>
      <w:bookmarkStart w:id="3" w:name="_Toc13871"/>
      <w:bookmarkStart w:id="4" w:name="_Toc12765"/>
      <w:bookmarkStart w:id="5" w:name="_Toc6496_WPSOffice_Level2"/>
      <w:bookmarkStart w:id="6" w:name="_Toc4489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合肥市包河区BH202437号地块装饰不锈钢及玻璃制品采购及安装项目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auto"/>
          <w:szCs w:val="21"/>
          <w:highlight w:val="none"/>
          <w:u w:val="single"/>
          <w:lang w:val="en-US" w:eastAsia="zh-CN"/>
        </w:rPr>
        <w:t>本项目总占地面积294.87亩，容积率≤ 1.5，建设一个客房数不少于 500 套的酒店，本次建设的为</w:t>
      </w:r>
      <w:r>
        <w:rPr>
          <w:rFonts w:hint="default" w:ascii="Times New Roman" w:hAnsi="Times New Roman" w:eastAsia="宋体" w:cs="Times New Roman"/>
          <w:color w:val="auto"/>
          <w:szCs w:val="21"/>
          <w:highlight w:val="none"/>
          <w:u w:val="single"/>
          <w:lang w:val="en-US" w:eastAsia="zh-CN"/>
        </w:rPr>
        <w:t>地块内 3#、5#、7#、9#楼栋</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8128_WPSOffice_Level2"/>
      <w:bookmarkStart w:id="10" w:name="_Toc10274"/>
      <w:bookmarkStart w:id="11" w:name="_Toc18453"/>
      <w:bookmarkStart w:id="12" w:name="_Toc23266_WPSOffice_Level2"/>
      <w:bookmarkStart w:id="13" w:name="_Toc18367_WPSOffice_Level2"/>
      <w:bookmarkStart w:id="14" w:name="_Toc525632586"/>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bookmarkStart w:id="210" w:name="_GoBack"/>
      <w:bookmarkEnd w:id="210"/>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u w:val="single"/>
          <w:lang w:val="en-US" w:eastAsia="zh-CN"/>
        </w:rPr>
      </w:pPr>
      <w:bookmarkStart w:id="15" w:name="_Toc4489_WPSOffice_Level3"/>
      <w:r>
        <w:rPr>
          <w:rFonts w:hint="eastAsia" w:ascii="宋体" w:hAnsi="宋体" w:eastAsia="宋体" w:cs="宋体"/>
          <w:color w:val="auto"/>
          <w:szCs w:val="21"/>
          <w:highlight w:val="none"/>
        </w:rPr>
        <w:t>2.1 采购方式：</w:t>
      </w:r>
      <w:bookmarkEnd w:id="15"/>
      <w:r>
        <w:rPr>
          <w:rFonts w:hint="eastAsia" w:ascii="宋体" w:hAnsi="宋体" w:eastAsia="宋体" w:cs="宋体"/>
          <w:color w:val="auto"/>
          <w:szCs w:val="21"/>
          <w:highlight w:val="none"/>
          <w:u w:val="single"/>
          <w:lang w:val="en-US" w:eastAsia="zh-CN"/>
        </w:rPr>
        <w:t>询比采购。</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eastAsia="zh-CN"/>
        </w:rPr>
      </w:pPr>
      <w:bookmarkStart w:id="16" w:name="_Toc23266_WPSOffice_Level3"/>
      <w:r>
        <w:rPr>
          <w:rFonts w:hint="eastAsia" w:ascii="宋体" w:hAnsi="宋体" w:eastAsia="宋体" w:cs="宋体"/>
          <w:color w:val="auto"/>
          <w:szCs w:val="21"/>
          <w:highlight w:val="none"/>
        </w:rPr>
        <w:t>2.2 资金来源及比例：</w:t>
      </w:r>
      <w:bookmarkEnd w:id="16"/>
      <w:bookmarkStart w:id="17" w:name="_Toc22379_WPSOffice_Level3"/>
      <w:r>
        <w:rPr>
          <w:rFonts w:hint="eastAsia" w:ascii="宋体" w:hAnsi="宋体" w:eastAsia="宋体" w:cs="宋体"/>
          <w:color w:val="auto"/>
          <w:szCs w:val="21"/>
          <w:highlight w:val="none"/>
          <w:u w:val="single"/>
        </w:rPr>
        <w:t>100%来自企业自筹</w:t>
      </w:r>
      <w:r>
        <w:rPr>
          <w:rFonts w:hint="eastAsia" w:ascii="宋体" w:hAnsi="宋体" w:eastAsia="宋体" w:cs="宋体"/>
          <w:color w:val="auto"/>
          <w:szCs w:val="21"/>
          <w:highlight w:val="none"/>
          <w:u w:val="single"/>
          <w:lang w:eastAsia="zh-CN"/>
        </w:rPr>
        <w:t>。</w:t>
      </w:r>
    </w:p>
    <w:p w14:paraId="67C8BC15">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 采购范围：</w:t>
      </w:r>
      <w:r>
        <w:rPr>
          <w:rFonts w:hint="eastAsia" w:ascii="宋体" w:hAnsi="宋体" w:eastAsia="宋体" w:cs="宋体"/>
          <w:color w:val="auto"/>
          <w:szCs w:val="21"/>
          <w:highlight w:val="none"/>
          <w:u w:val="single"/>
          <w:lang w:val="en-US" w:eastAsia="zh-CN"/>
        </w:rPr>
        <w:t>具体详见第五章供货要求及清单。</w:t>
      </w:r>
    </w:p>
    <w:p w14:paraId="2C2ADE1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详见采购清单。</w:t>
      </w:r>
    </w:p>
    <w:p w14:paraId="59DE3FB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2.5 合同包划分：</w:t>
      </w:r>
      <w:r>
        <w:rPr>
          <w:rFonts w:hint="eastAsia" w:ascii="宋体" w:hAnsi="宋体" w:eastAsia="宋体" w:cs="宋体"/>
          <w:color w:val="auto"/>
          <w:szCs w:val="21"/>
          <w:highlight w:val="none"/>
          <w:u w:val="single"/>
          <w:lang w:val="en-US" w:eastAsia="zh-CN"/>
        </w:rPr>
        <w:t>2个采购包段</w:t>
      </w:r>
      <w:r>
        <w:rPr>
          <w:rFonts w:hint="eastAsia" w:ascii="Times New Roman" w:hAnsi="Times New Roman" w:eastAsia="宋体" w:cs="Times New Roman"/>
          <w:color w:val="auto"/>
          <w:szCs w:val="21"/>
          <w:highlight w:val="none"/>
          <w:u w:val="single"/>
          <w:lang w:val="en-US" w:eastAsia="zh-CN"/>
        </w:rPr>
        <w:t>（其中3#、5#、7#、9#楼客房区域为一个标段，3#、5#、7#、9#楼公共区域为一个标段）</w:t>
      </w:r>
      <w:r>
        <w:rPr>
          <w:rFonts w:hint="eastAsia" w:ascii="宋体" w:hAnsi="宋体" w:eastAsia="宋体" w:cs="宋体"/>
          <w:color w:val="auto"/>
          <w:szCs w:val="21"/>
          <w:highlight w:val="none"/>
          <w:u w:val="singl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 xml:space="preserve"> 最高限价：</w:t>
      </w:r>
      <w:bookmarkEnd w:id="17"/>
      <w:r>
        <w:rPr>
          <w:rFonts w:hint="eastAsia" w:ascii="宋体" w:hAnsi="宋体" w:eastAsia="宋体" w:cs="宋体"/>
          <w:b w:val="0"/>
          <w:bCs w:val="0"/>
          <w:color w:val="auto"/>
          <w:szCs w:val="21"/>
          <w:highlight w:val="none"/>
          <w:u w:val="single"/>
          <w:lang w:val="en-US" w:eastAsia="zh-CN"/>
        </w:rPr>
        <w:t>人民币</w:t>
      </w:r>
      <w:r>
        <w:rPr>
          <w:rFonts w:hint="eastAsia" w:ascii="宋体" w:hAnsi="宋体" w:eastAsia="宋体" w:cs="宋体"/>
          <w:color w:val="auto"/>
          <w:szCs w:val="21"/>
          <w:highlight w:val="none"/>
          <w:u w:val="single"/>
          <w:lang w:val="en-US" w:eastAsia="zh-CN"/>
        </w:rPr>
        <w:t>01包493.25万，02包367.17万。</w:t>
      </w:r>
    </w:p>
    <w:p w14:paraId="2EA04AE3">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本项目中不同的包段,供应商均可以参与。多包段的成交原则：一家供应商原则上只允许承接一个包段，如某一供应商同时在多个包段排名第一，优先成交造价最高的包段，同时其他包段排名第二的供应商可响应该包段第一名的报价，由采购人确定该包段成交供应商；如第二名不能响应第一名的报价，由采购人按候选人名次顺延成交人或重新采购。</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eastAsia" w:ascii="宋体" w:hAnsi="宋体" w:eastAsia="宋体" w:cs="宋体"/>
          <w:color w:val="auto"/>
          <w:sz w:val="21"/>
          <w:szCs w:val="21"/>
          <w:highlight w:val="none"/>
          <w:u w:val="single"/>
          <w:lang w:val="en-US" w:eastAsia="zh-CN"/>
        </w:rPr>
        <w:t>每批材料自采购人通知之日起7内完成确样、图纸深化及复尺下单工作，产品生产8日完成并货到现场，到货后5日内完成安装（2025年12月15日第一批材料进场，2026年1月10日最后一批材料进场，全部安装完成时间2026年1月15日前）</w:t>
      </w:r>
      <w:r>
        <w:rPr>
          <w:rFonts w:hint="eastAsia" w:ascii="宋体" w:hAnsi="宋体" w:eastAsia="宋体" w:cs="宋体"/>
          <w:color w:val="auto"/>
          <w:kern w:val="0"/>
          <w:sz w:val="21"/>
          <w:szCs w:val="21"/>
          <w:highlight w:val="none"/>
          <w:u w:val="none"/>
          <w:lang w:eastAsia="zh-CN"/>
        </w:rPr>
        <w:t>。</w:t>
      </w:r>
    </w:p>
    <w:p w14:paraId="36AE255E">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u w:val="singl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安徽省合肥市包河区黄河路以北、庐州大道两侧，具体详细交货地点根据实际情况安排</w:t>
      </w:r>
      <w:r>
        <w:rPr>
          <w:rFonts w:hint="eastAsia" w:ascii="Times New Roman" w:hAnsi="Times New Roman" w:eastAsia="宋体" w:cs="Times New Roman"/>
          <w:color w:val="auto"/>
          <w:szCs w:val="21"/>
          <w:highlight w:val="none"/>
          <w:u w:val="single"/>
          <w:lang w:val="en-US" w:eastAsia="zh-CN"/>
        </w:rPr>
        <w:t>。</w:t>
      </w:r>
    </w:p>
    <w:p w14:paraId="0EB690EB">
      <w:pPr>
        <w:pageBreakBefore w:val="0"/>
        <w:kinsoku/>
        <w:wordWrap/>
        <w:overflowPunct/>
        <w:topLinePunct w:val="0"/>
        <w:autoSpaceDE/>
        <w:autoSpaceDN/>
        <w:bidi w:val="0"/>
        <w:adjustRightInd/>
        <w:snapToGrid w:val="0"/>
        <w:spacing w:line="460" w:lineRule="exact"/>
        <w:ind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u w:val="none"/>
          <w:lang w:val="en-US" w:eastAsia="zh-CN"/>
        </w:rPr>
        <w:t>2.9本项目产品已封样，各潜在投标人自行前往项目部确认产品样品并承诺按样品报价。拟成交人须在采购人通知之日起3日内，按封样产品标准再次送产品小样并经项目部确认。如所送样品不符合要求，采购人有权没收响应保证金，按成交候选人排序重新确定成交人；或重新组织采购（小样一式三份）。</w:t>
      </w:r>
    </w:p>
    <w:p w14:paraId="22830808">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供应商资格条件</w:t>
      </w:r>
      <w:r>
        <w:rPr>
          <w:rFonts w:hint="eastAsia" w:ascii="Times New Roman" w:hAnsi="Times New Roman" w:eastAsia="黑体" w:cs="Times New Roman"/>
          <w:b w:val="0"/>
          <w:bCs/>
          <w:color w:val="auto"/>
          <w:sz w:val="22"/>
          <w:szCs w:val="15"/>
          <w:highlight w:val="none"/>
          <w:lang w:val="en-US" w:eastAsia="zh-CN"/>
        </w:rPr>
        <w:t>（两包通用）</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6F1DA9E0">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①具备独立法人资格，持有有效的营业执照。</w:t>
      </w:r>
    </w:p>
    <w:p w14:paraId="4A3E2316">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cs="宋体"/>
          <w:color w:val="auto"/>
          <w:sz w:val="21"/>
          <w:szCs w:val="22"/>
          <w:highlight w:val="none"/>
        </w:rPr>
      </w:pPr>
      <w:r>
        <w:rPr>
          <w:rFonts w:hint="eastAsia" w:ascii="宋体" w:hAnsi="宋体" w:cs="宋体"/>
          <w:color w:val="auto"/>
          <w:sz w:val="21"/>
          <w:szCs w:val="22"/>
          <w:highlight w:val="none"/>
        </w:rPr>
        <w:t>②制造商/厂家参与询比的，应具备有生产、销售采购人所需材料的能力</w:t>
      </w:r>
      <w:r>
        <w:rPr>
          <w:rFonts w:hint="eastAsia" w:ascii="宋体" w:hAnsi="宋体" w:cs="宋体"/>
          <w:color w:val="auto"/>
          <w:sz w:val="21"/>
          <w:szCs w:val="22"/>
          <w:highlight w:val="none"/>
          <w:lang w:eastAsia="zh-CN"/>
        </w:rPr>
        <w:t>；</w:t>
      </w:r>
      <w:r>
        <w:rPr>
          <w:rFonts w:hint="eastAsia" w:ascii="宋体" w:hAnsi="宋体" w:cs="宋体"/>
          <w:color w:val="auto"/>
          <w:sz w:val="21"/>
          <w:szCs w:val="22"/>
          <w:highlight w:val="none"/>
        </w:rPr>
        <w:t>经销商/代理商参加询比的，应具备销售采购人所需材料的能力（提供所投产品业绩进行证明）。</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none"/>
          <w:u w:val="single"/>
          <w:lang w:val="en-US" w:eastAsia="zh-CN"/>
        </w:rPr>
      </w:pPr>
      <w:r>
        <w:rPr>
          <w:rFonts w:hint="default" w:ascii="Times New Roman" w:hAnsi="Times New Roman" w:cs="Times New Roman" w:eastAsiaTheme="minorEastAsia"/>
          <w:b w:val="0"/>
          <w:bCs w:val="0"/>
          <w:color w:val="auto"/>
          <w:highlight w:val="none"/>
          <w:u w:val="single"/>
          <w:lang w:val="en-US" w:eastAsia="zh-CN"/>
        </w:rPr>
        <w:t>至少提供1个自</w:t>
      </w:r>
      <w:r>
        <w:rPr>
          <w:rFonts w:hint="eastAsia" w:ascii="Times New Roman" w:hAnsi="Times New Roman" w:cs="Times New Roman"/>
          <w:b w:val="0"/>
          <w:bCs w:val="0"/>
          <w:color w:val="auto"/>
          <w:highlight w:val="none"/>
          <w:u w:val="single"/>
          <w:lang w:val="en-US" w:eastAsia="zh-CN"/>
        </w:rPr>
        <w:t>2022</w:t>
      </w:r>
      <w:r>
        <w:rPr>
          <w:rFonts w:hint="default" w:ascii="Times New Roman" w:hAnsi="Times New Roman" w:cs="Times New Roman" w:eastAsiaTheme="minorEastAsia"/>
          <w:b w:val="0"/>
          <w:bCs w:val="0"/>
          <w:color w:val="auto"/>
          <w:highlight w:val="none"/>
          <w:u w:val="single"/>
          <w:lang w:val="en-US" w:eastAsia="zh-CN"/>
        </w:rPr>
        <w:t>年</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月</w:t>
      </w:r>
      <w:r>
        <w:rPr>
          <w:rFonts w:hint="eastAsia" w:ascii="Times New Roman" w:hAnsi="Times New Roman" w:cs="Times New Roman"/>
          <w:b w:val="0"/>
          <w:bCs w:val="0"/>
          <w:color w:val="auto"/>
          <w:highlight w:val="none"/>
          <w:u w:val="single"/>
          <w:lang w:val="en-US" w:eastAsia="zh-CN"/>
        </w:rPr>
        <w:t>1</w:t>
      </w:r>
      <w:r>
        <w:rPr>
          <w:rFonts w:hint="default" w:ascii="Times New Roman" w:hAnsi="Times New Roman" w:cs="Times New Roman" w:eastAsiaTheme="minorEastAsia"/>
          <w:b w:val="0"/>
          <w:bCs w:val="0"/>
          <w:color w:val="auto"/>
          <w:highlight w:val="none"/>
          <w:u w:val="single"/>
          <w:lang w:val="en-US" w:eastAsia="zh-CN"/>
        </w:rPr>
        <w:t>日以来，单项合同额不低于</w:t>
      </w:r>
      <w:r>
        <w:rPr>
          <w:rFonts w:hint="eastAsia" w:ascii="Times New Roman" w:hAnsi="Times New Roman" w:cs="Times New Roman"/>
          <w:b w:val="0"/>
          <w:bCs w:val="0"/>
          <w:color w:val="auto"/>
          <w:highlight w:val="none"/>
          <w:u w:val="single"/>
          <w:lang w:val="en-US" w:eastAsia="zh-CN"/>
        </w:rPr>
        <w:t>200</w:t>
      </w:r>
      <w:r>
        <w:rPr>
          <w:rFonts w:hint="default" w:ascii="Times New Roman" w:hAnsi="Times New Roman" w:cs="Times New Roman" w:eastAsiaTheme="minorEastAsia"/>
          <w:b w:val="0"/>
          <w:bCs w:val="0"/>
          <w:color w:val="auto"/>
          <w:highlight w:val="none"/>
          <w:u w:val="single"/>
          <w:lang w:val="en-US" w:eastAsia="zh-CN"/>
        </w:rPr>
        <w:t>万元的</w:t>
      </w:r>
      <w:r>
        <w:rPr>
          <w:rFonts w:hint="eastAsia" w:ascii="Times New Roman" w:hAnsi="Times New Roman" w:cs="Times New Roman"/>
          <w:b w:val="0"/>
          <w:bCs w:val="0"/>
          <w:color w:val="auto"/>
          <w:highlight w:val="none"/>
          <w:u w:val="single"/>
          <w:lang w:val="en-US" w:eastAsia="zh-CN"/>
        </w:rPr>
        <w:t>不锈钢或隔断、艺术玻璃</w:t>
      </w:r>
      <w:r>
        <w:rPr>
          <w:rFonts w:hint="default" w:ascii="Times New Roman" w:hAnsi="Times New Roman" w:cs="Times New Roman" w:eastAsiaTheme="minorEastAsia"/>
          <w:b w:val="0"/>
          <w:bCs w:val="0"/>
          <w:color w:val="auto"/>
          <w:szCs w:val="21"/>
          <w:highlight w:val="none"/>
          <w:u w:val="single"/>
          <w:lang w:val="en-US" w:eastAsia="zh-CN"/>
        </w:rPr>
        <w:t>合同业绩</w:t>
      </w:r>
      <w:r>
        <w:rPr>
          <w:rFonts w:hint="eastAsia" w:ascii="Times New Roman" w:hAnsi="Times New Roman" w:cs="Times New Roman"/>
          <w:b w:val="0"/>
          <w:bCs w:val="0"/>
          <w:color w:val="auto"/>
          <w:szCs w:val="21"/>
          <w:highlight w:val="none"/>
          <w:u w:val="single"/>
          <w:lang w:val="en-US" w:eastAsia="zh-CN"/>
        </w:rPr>
        <w:t>，</w:t>
      </w:r>
      <w:r>
        <w:rPr>
          <w:rFonts w:hint="default" w:ascii="Times New Roman" w:hAnsi="Times New Roman" w:cs="Times New Roman" w:eastAsiaTheme="minorEastAsia"/>
          <w:b w:val="0"/>
          <w:bCs w:val="0"/>
          <w:color w:val="auto"/>
          <w:szCs w:val="21"/>
          <w:highlight w:val="none"/>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4751"/>
      <w:bookmarkStart w:id="19" w:name="_Toc4109_WPSOffice_Level2"/>
      <w:bookmarkStart w:id="20" w:name="_Toc525632588"/>
      <w:bookmarkStart w:id="21" w:name="_Toc29452_WPSOffice_Level2"/>
      <w:bookmarkStart w:id="22" w:name="_Toc1994"/>
      <w:bookmarkStart w:id="23" w:name="_Toc25666_WPSOffice_Level2"/>
      <w:bookmarkStart w:id="24" w:name="_Toc2996_WPSOffice_Level2"/>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6AC4E2">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eastAsiaTheme="minorEastAsia"/>
          <w:color w:val="auto"/>
          <w:sz w:val="21"/>
          <w:szCs w:val="22"/>
          <w:highlight w:val="none"/>
          <w:lang w:eastAsia="zh-CN"/>
        </w:rPr>
      </w:pPr>
      <w:bookmarkStart w:id="25" w:name="_Toc525632589"/>
      <w:bookmarkStart w:id="26" w:name="_Toc726"/>
      <w:r>
        <w:rPr>
          <w:rFonts w:hint="eastAsia" w:ascii="Times New Roman" w:hAnsi="Times New Roman"/>
          <w:color w:val="auto"/>
          <w:sz w:val="21"/>
          <w:szCs w:val="22"/>
          <w:highlight w:val="none"/>
        </w:rPr>
        <w:t>供应商应在递交响应文件的截止时间前登录“安徽交控招采平台”（网址：zcpt.ahjkjt.com）</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”（网址：www.ahjggroup.com），自行下载</w:t>
      </w:r>
      <w:r>
        <w:rPr>
          <w:rFonts w:hint="eastAsia" w:ascii="Times New Roman" w:hAnsi="Times New Roman"/>
          <w:color w:val="auto"/>
          <w:sz w:val="21"/>
          <w:szCs w:val="22"/>
          <w:highlight w:val="none"/>
          <w:lang w:val="en-US" w:eastAsia="zh-CN"/>
        </w:rPr>
        <w:t>询比</w:t>
      </w:r>
      <w:r>
        <w:rPr>
          <w:rFonts w:hint="eastAsia" w:ascii="Times New Roman" w:hAnsi="Times New Roman"/>
          <w:color w:val="auto"/>
          <w:sz w:val="21"/>
          <w:szCs w:val="22"/>
          <w:highlight w:val="none"/>
        </w:rPr>
        <w:t>文件及相关资料。未按规定下载采购文件的，后续将不予接受其响应文件</w:t>
      </w:r>
      <w:r>
        <w:rPr>
          <w:rFonts w:hint="eastAsia" w:ascii="Times New Roman" w:hAnsi="Times New Roman"/>
          <w:color w:val="auto"/>
          <w:sz w:val="21"/>
          <w:szCs w:val="22"/>
          <w:highlight w:val="none"/>
          <w:lang w:eastAsia="zh-CN"/>
        </w:rPr>
        <w:t>。</w:t>
      </w:r>
    </w:p>
    <w:p w14:paraId="1C8A132D">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rPr>
        <w:t>注意事项：</w:t>
      </w:r>
    </w:p>
    <w:p w14:paraId="068AA161">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eastAsiaTheme="minorEastAsia" w:cstheme="minorBidi"/>
          <w:color w:val="auto"/>
          <w:kern w:val="2"/>
          <w:sz w:val="21"/>
          <w:szCs w:val="22"/>
          <w:highlight w:val="none"/>
          <w:lang w:val="en-US" w:eastAsia="zh-CN" w:bidi="ar-SA"/>
        </w:rPr>
        <w:t>（1）</w:t>
      </w:r>
      <w:r>
        <w:rPr>
          <w:rFonts w:hint="eastAsia" w:ascii="Times New Roman" w:hAnsi="Times New Roman"/>
          <w:color w:val="auto"/>
          <w:sz w:val="21"/>
          <w:szCs w:val="22"/>
          <w:highlight w:val="none"/>
        </w:rPr>
        <w:t>潜在供应商</w:t>
      </w:r>
      <w:r>
        <w:rPr>
          <w:rFonts w:hint="eastAsia" w:ascii="Times New Roman" w:hAnsi="Times New Roman"/>
          <w:color w:val="auto"/>
          <w:sz w:val="21"/>
          <w:szCs w:val="22"/>
          <w:highlight w:val="none"/>
          <w:lang w:eastAsia="zh-CN"/>
        </w:rPr>
        <w:t>登录</w:t>
      </w:r>
      <w:r>
        <w:rPr>
          <w:rFonts w:hint="eastAsia" w:ascii="Times New Roman" w:hAnsi="Times New Roman"/>
          <w:color w:val="auto"/>
          <w:sz w:val="21"/>
          <w:szCs w:val="22"/>
          <w:highlight w:val="none"/>
        </w:rPr>
        <w:t>“安徽交控招采平台”（网址：zcpt.ahjkjt.com）参与本项目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rPr>
        <w:t>。</w:t>
      </w:r>
    </w:p>
    <w:p w14:paraId="4DC1CB58">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eastAsia="zh-CN"/>
        </w:rPr>
        <w:t>①</w:t>
      </w:r>
      <w:r>
        <w:rPr>
          <w:rFonts w:hint="eastAsia" w:ascii="Times New Roman" w:hAnsi="Times New Roman"/>
          <w:color w:val="auto"/>
          <w:sz w:val="21"/>
          <w:szCs w:val="22"/>
          <w:highlight w:val="none"/>
        </w:rPr>
        <w:t>首次登陆须办理注册手续，请务必选择注册为“供应商”类型。注册流程见安徽交控招采平台“用户注册”栏目，咨询电话：010-86392341。因未及时办理注册手续影响参加采购活动的，责任自负。</w:t>
      </w:r>
    </w:p>
    <w:p w14:paraId="6B7B1927">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②</w:t>
      </w:r>
      <w:r>
        <w:rPr>
          <w:rFonts w:hint="eastAsia" w:ascii="Times New Roman" w:hAnsi="Times New Roman"/>
          <w:color w:val="auto"/>
          <w:sz w:val="21"/>
          <w:szCs w:val="22"/>
          <w:highlight w:val="none"/>
        </w:rPr>
        <w:t>已注册的潜在供应商可登录安徽交控招采平台直接获取采购文件。本项目的采购文件及其他资料（含澄清、答疑及相关补充文件）通过安徽交控招采平台发布，采购人/代理机构不再另行书面通知，潜在供应商应及时关注、查阅安徽交控招采平台。因未及时查看导致不利后果的，责任自负。</w:t>
      </w:r>
    </w:p>
    <w:p w14:paraId="23D0316A">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eastAsia" w:ascii="Times New Roman" w:hAnsi="Times New Roman"/>
          <w:color w:val="auto"/>
          <w:sz w:val="21"/>
          <w:szCs w:val="22"/>
          <w:highlight w:val="none"/>
        </w:rPr>
      </w:pPr>
      <w:r>
        <w:rPr>
          <w:rFonts w:hint="eastAsia" w:ascii="Times New Roman" w:hAnsi="Times New Roman"/>
          <w:color w:val="auto"/>
          <w:sz w:val="21"/>
          <w:szCs w:val="22"/>
          <w:highlight w:val="none"/>
          <w:lang w:val="en-US" w:eastAsia="zh-CN"/>
        </w:rPr>
        <w:t>③</w:t>
      </w:r>
      <w:r>
        <w:rPr>
          <w:rFonts w:hint="eastAsia" w:ascii="Times New Roman" w:hAnsi="Times New Roman"/>
          <w:color w:val="auto"/>
          <w:sz w:val="21"/>
          <w:szCs w:val="22"/>
          <w:highlight w:val="none"/>
        </w:rPr>
        <w:t>已注册的潜在供应商若注册信息发生变更（如：与初始注册信息不一致），应及时网上提交变更申请。因未及时变更导致不利后果的，责任自负。</w:t>
      </w:r>
    </w:p>
    <w:p w14:paraId="6F73A374">
      <w:pPr>
        <w:keepNext w:val="0"/>
        <w:keepLines w:val="0"/>
        <w:pageBreakBefore w:val="0"/>
        <w:widowControl w:val="0"/>
        <w:numPr>
          <w:ilvl w:val="0"/>
          <w:numId w:val="0"/>
        </w:numPr>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lang w:val="en-US" w:eastAsia="zh-CN"/>
        </w:rPr>
        <w:t>2</w:t>
      </w:r>
      <w:r>
        <w:rPr>
          <w:rFonts w:hint="eastAsia" w:ascii="Times New Roman" w:hAnsi="Times New Roman"/>
          <w:color w:val="auto"/>
          <w:sz w:val="21"/>
          <w:szCs w:val="22"/>
          <w:highlight w:val="none"/>
          <w:lang w:eastAsia="zh-CN"/>
        </w:rPr>
        <w:t>）</w:t>
      </w:r>
      <w:r>
        <w:rPr>
          <w:rFonts w:hint="eastAsia" w:ascii="Times New Roman" w:hAnsi="Times New Roman"/>
          <w:color w:val="auto"/>
          <w:sz w:val="21"/>
          <w:szCs w:val="22"/>
          <w:highlight w:val="none"/>
        </w:rPr>
        <w:t>潜在供应商</w:t>
      </w:r>
      <w:r>
        <w:rPr>
          <w:rFonts w:hint="eastAsia" w:ascii="Times New Roman" w:hAnsi="Times New Roman"/>
          <w:color w:val="auto"/>
          <w:sz w:val="21"/>
          <w:szCs w:val="22"/>
          <w:highlight w:val="none"/>
          <w:lang w:eastAsia="zh-CN"/>
        </w:rPr>
        <w:t>登录</w:t>
      </w:r>
      <w:r>
        <w:rPr>
          <w:rFonts w:hint="eastAsia" w:ascii="Times New Roman" w:hAnsi="Times New Roman"/>
          <w:color w:val="auto"/>
          <w:sz w:val="21"/>
          <w:szCs w:val="22"/>
          <w:highlight w:val="none"/>
        </w:rPr>
        <w:t>“</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”（网址：www.ahjggroup.com）参与本项目</w:t>
      </w:r>
      <w:r>
        <w:rPr>
          <w:rFonts w:hint="eastAsia" w:ascii="Times New Roman" w:hAnsi="Times New Roman"/>
          <w:color w:val="auto"/>
          <w:sz w:val="21"/>
          <w:szCs w:val="22"/>
          <w:highlight w:val="none"/>
          <w:lang w:eastAsia="zh-CN"/>
        </w:rPr>
        <w:t>的。</w:t>
      </w:r>
      <w:r>
        <w:rPr>
          <w:rFonts w:hint="eastAsia" w:ascii="Times New Roman" w:hAnsi="Times New Roman"/>
          <w:color w:val="auto"/>
          <w:sz w:val="21"/>
          <w:szCs w:val="22"/>
          <w:highlight w:val="none"/>
          <w:lang w:val="en-US" w:eastAsia="zh-CN"/>
        </w:rPr>
        <w:t>需在</w:t>
      </w:r>
      <w:r>
        <w:rPr>
          <w:rFonts w:hint="eastAsia" w:ascii="Times New Roman" w:hAnsi="Times New Roman"/>
          <w:color w:val="auto"/>
          <w:sz w:val="21"/>
          <w:szCs w:val="22"/>
          <w:highlight w:val="none"/>
        </w:rPr>
        <w:t>“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2025</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12</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2</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14</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color w:val="auto"/>
          <w:szCs w:val="22"/>
          <w:highlight w:val="none"/>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22B0FA7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01包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3000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叁仟元整</w:t>
      </w:r>
      <w:r>
        <w:rPr>
          <w:rFonts w:hint="eastAsia" w:ascii="Times New Roman" w:hAnsi="Times New Roman" w:eastAsia="宋体" w:cs="Times New Roman"/>
          <w:b/>
          <w:bCs/>
          <w:color w:val="auto"/>
          <w:kern w:val="2"/>
          <w:sz w:val="21"/>
          <w:szCs w:val="21"/>
          <w:highlight w:val="none"/>
          <w:lang w:val="en-US" w:eastAsia="zh-CN" w:bidi="ar-SA"/>
        </w:rPr>
        <w:t>）；</w:t>
      </w:r>
    </w:p>
    <w:p w14:paraId="41EEEEB7">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本项目</w:t>
      </w:r>
      <w:r>
        <w:rPr>
          <w:rFonts w:hint="eastAsia" w:ascii="Times New Roman" w:hAnsi="Times New Roman" w:eastAsia="宋体" w:cs="Times New Roman"/>
          <w:b/>
          <w:bCs/>
          <w:color w:val="auto"/>
          <w:kern w:val="2"/>
          <w:sz w:val="21"/>
          <w:szCs w:val="21"/>
          <w:highlight w:val="none"/>
          <w:lang w:val="en-US" w:eastAsia="zh-CN" w:bidi="ar-SA"/>
        </w:rPr>
        <w:t>02包</w:t>
      </w: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付款备注：37号装饰不锈钢及玻璃制品采购响应保证金</w:t>
      </w:r>
      <w:r>
        <w:rPr>
          <w:rFonts w:hint="eastAsia" w:ascii="宋体" w:hAnsi="宋体" w:eastAsia="宋体" w:cs="宋体"/>
          <w:b/>
          <w:bCs/>
          <w:color w:val="auto"/>
          <w:kern w:val="2"/>
          <w:sz w:val="21"/>
          <w:szCs w:val="21"/>
          <w:highlight w:val="none"/>
          <w:u w:val="single"/>
          <w:lang w:val="en-US" w:eastAsia="zh-CN" w:bidi="ar"/>
        </w:rPr>
        <w:t xml:space="preserve">    </w:t>
      </w:r>
      <w:r>
        <w:rPr>
          <w:rFonts w:hint="eastAsia" w:ascii="宋体" w:hAnsi="宋体" w:eastAsia="宋体" w:cs="宋体"/>
          <w:b/>
          <w:bCs/>
          <w:color w:val="auto"/>
          <w:kern w:val="2"/>
          <w:sz w:val="21"/>
          <w:szCs w:val="21"/>
          <w:highlight w:val="none"/>
          <w:lang w:val="en-US" w:eastAsia="zh-CN" w:bidi="ar"/>
        </w:rPr>
        <w:t>包段</w:t>
      </w:r>
    </w:p>
    <w:p w14:paraId="661636F0">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default"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注：每个包段分别提交保证金，供应商需根据其意向参加的包段缴纳相应的保证金。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auto"/>
          <w:szCs w:val="21"/>
          <w:highlight w:val="none"/>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成交公示</w:t>
      </w:r>
      <w:r>
        <w:rPr>
          <w:rFonts w:hint="eastAsia" w:ascii="宋体" w:hAnsi="宋体" w:cs="宋体"/>
          <w:b/>
          <w:color w:val="auto"/>
          <w:sz w:val="21"/>
          <w:szCs w:val="21"/>
          <w:highlight w:val="none"/>
          <w:lang w:bidi="ar"/>
        </w:rPr>
        <w:t>后，</w:t>
      </w:r>
      <w:r>
        <w:rPr>
          <w:rFonts w:hint="eastAsia" w:ascii="宋体" w:hAnsi="宋体" w:cs="宋体"/>
          <w:b/>
          <w:color w:val="auto"/>
          <w:sz w:val="21"/>
          <w:szCs w:val="21"/>
          <w:highlight w:val="none"/>
          <w:lang w:eastAsia="zh-CN" w:bidi="ar"/>
        </w:rPr>
        <w:t>在</w:t>
      </w:r>
      <w:r>
        <w:rPr>
          <w:rFonts w:hint="eastAsia" w:ascii="宋体" w:hAnsi="宋体" w:cs="宋体"/>
          <w:b/>
          <w:color w:val="auto"/>
          <w:sz w:val="21"/>
          <w:szCs w:val="21"/>
          <w:highlight w:val="none"/>
          <w:lang w:val="en-US" w:eastAsia="zh-CN" w:bidi="ar"/>
        </w:rPr>
        <w:t>合同签订前，乙方需向甲方支付合同总价</w:t>
      </w:r>
      <w:r>
        <w:rPr>
          <w:rFonts w:hint="eastAsia" w:ascii="宋体" w:hAnsi="宋体" w:cs="宋体"/>
          <w:b/>
          <w:color w:val="auto"/>
          <w:sz w:val="21"/>
          <w:szCs w:val="21"/>
          <w:highlight w:val="none"/>
          <w:u w:val="single"/>
          <w:lang w:val="en-US" w:eastAsia="zh-CN" w:bidi="ar"/>
        </w:rPr>
        <w:t>3%</w:t>
      </w:r>
      <w:r>
        <w:rPr>
          <w:rFonts w:hint="eastAsia" w:ascii="宋体" w:hAnsi="宋体" w:cs="宋体"/>
          <w:b/>
          <w:color w:val="auto"/>
          <w:sz w:val="21"/>
          <w:szCs w:val="21"/>
          <w:highlight w:val="none"/>
          <w:lang w:val="en-US" w:eastAsia="zh-CN" w:bidi="ar"/>
        </w:rPr>
        <w:t>的</w:t>
      </w:r>
      <w:r>
        <w:rPr>
          <w:rFonts w:hint="eastAsia" w:ascii="宋体" w:hAnsi="宋体" w:cs="宋体"/>
          <w:b/>
          <w:color w:val="auto"/>
          <w:sz w:val="21"/>
          <w:szCs w:val="21"/>
          <w:highlight w:val="none"/>
          <w:lang w:bidi="ar"/>
        </w:rPr>
        <w:t>履约保证金</w:t>
      </w:r>
      <w:r>
        <w:rPr>
          <w:rFonts w:hint="eastAsia" w:ascii="宋体" w:hAnsi="宋体" w:cs="宋体"/>
          <w:b/>
          <w:color w:val="auto"/>
          <w:sz w:val="21"/>
          <w:szCs w:val="21"/>
          <w:highlight w:val="none"/>
          <w:lang w:val="en-US" w:eastAsia="zh-CN" w:bidi="ar"/>
        </w:rPr>
        <w:t>或提供合同总价</w:t>
      </w:r>
      <w:r>
        <w:rPr>
          <w:rFonts w:hint="eastAsia" w:ascii="宋体" w:hAnsi="宋体" w:cs="宋体"/>
          <w:b/>
          <w:color w:val="auto"/>
          <w:sz w:val="21"/>
          <w:szCs w:val="21"/>
          <w:highlight w:val="none"/>
          <w:u w:val="single"/>
          <w:lang w:val="en-US" w:eastAsia="zh-CN" w:bidi="ar"/>
        </w:rPr>
        <w:t>5%</w:t>
      </w:r>
      <w:r>
        <w:rPr>
          <w:rFonts w:hint="eastAsia" w:ascii="宋体" w:hAnsi="宋体" w:cs="宋体"/>
          <w:b/>
          <w:color w:val="auto"/>
          <w:sz w:val="21"/>
          <w:szCs w:val="21"/>
          <w:highlight w:val="none"/>
          <w:lang w:val="en-US" w:eastAsia="zh-CN" w:bidi="ar"/>
        </w:rPr>
        <w:t>的银行保函</w:t>
      </w:r>
      <w:r>
        <w:rPr>
          <w:rFonts w:hint="eastAsia" w:ascii="宋体" w:hAnsi="宋体" w:cs="宋体"/>
          <w:b/>
          <w:color w:val="auto"/>
          <w:sz w:val="21"/>
          <w:szCs w:val="21"/>
          <w:highlight w:val="none"/>
          <w:lang w:bidi="ar"/>
        </w:rPr>
        <w:t>。</w:t>
      </w:r>
      <w:r>
        <w:rPr>
          <w:rFonts w:hint="eastAsia" w:ascii="宋体" w:hAnsi="宋体" w:eastAsia="宋体" w:cs="宋体"/>
          <w:color w:val="auto"/>
          <w:szCs w:val="21"/>
          <w:highlight w:val="none"/>
        </w:rPr>
        <w:t xml:space="preserve"> </w:t>
      </w:r>
    </w:p>
    <w:p w14:paraId="655A51FA">
      <w:pPr>
        <w:spacing w:beforeLines="0" w:afterLines="0" w:line="440" w:lineRule="exact"/>
        <w:ind w:firstLine="420"/>
        <w:rPr>
          <w:rFonts w:hint="eastAsia" w:ascii="宋体" w:hAnsi="宋体" w:eastAsia="宋体" w:cs="宋体"/>
          <w:b/>
          <w:bCs/>
          <w:color w:val="auto"/>
          <w:szCs w:val="21"/>
          <w:highlight w:val="none"/>
        </w:rPr>
      </w:pPr>
      <w:r>
        <w:rPr>
          <w:rFonts w:hint="eastAsia" w:ascii="宋体" w:hAnsi="宋体" w:eastAsia="宋体" w:cs="宋体"/>
          <w:color w:val="auto"/>
          <w:szCs w:val="21"/>
          <w:highlight w:val="yellow"/>
        </w:rPr>
        <w:t>（3）已提交响应保证金的供应商，无需二次提交。</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50DD2AD8">
      <w:pPr>
        <w:snapToGrid w:val="0"/>
        <w:spacing w:beforeLines="0" w:afterLines="0" w:line="440" w:lineRule="exact"/>
        <w:ind w:firstLine="420" w:firstLineChars="200"/>
        <w:rPr>
          <w:rFonts w:hint="default" w:ascii="Times New Roman" w:hAnsi="Times New Roman"/>
          <w:color w:val="auto"/>
          <w:sz w:val="21"/>
          <w:szCs w:val="22"/>
          <w:highlight w:val="none"/>
          <w:lang w:val="en-US" w:eastAsia="zh-CN"/>
        </w:rPr>
      </w:pPr>
      <w:r>
        <w:rPr>
          <w:rFonts w:hint="eastAsia" w:ascii="Times New Roman" w:hAnsi="Times New Roman"/>
          <w:color w:val="auto"/>
          <w:sz w:val="21"/>
          <w:szCs w:val="22"/>
          <w:highlight w:val="none"/>
        </w:rPr>
        <w:t>本次采购公告同时在安徽交控招采平台（zcpt.ahjkjt.com）、安徽交控建设工程集团有限公司网站（www.ahjggroup.com）上发布，对于因其他网站转载并发布的非完整版或修改版公告，而导致误报名或无效报名的情形，采购人不予承担责任。</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9" w:name="_Toc26829"/>
      <w:bookmarkStart w:id="30" w:name="_Toc321_WPSOffice_Level2"/>
      <w:bookmarkStart w:id="31" w:name="_Toc525632592"/>
      <w:bookmarkStart w:id="32" w:name="_Toc8501"/>
      <w:bookmarkStart w:id="33" w:name="_Toc14943_WPSOffice_Level2"/>
      <w:bookmarkStart w:id="34" w:name="_Toc20572_WPSOffice_Level2"/>
      <w:bookmarkStart w:id="35" w:name="_Toc28571_WPSOffice_Level2"/>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67DD1B2B">
      <w:pPr>
        <w:pStyle w:val="33"/>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615B7336">
      <w:pPr>
        <w:pStyle w:val="33"/>
        <w:jc w:val="both"/>
        <w:rPr>
          <w:rFonts w:hint="eastAsia" w:ascii="宋体" w:hAnsi="宋体" w:eastAsia="宋体" w:cs="宋体"/>
          <w:color w:val="auto"/>
          <w:sz w:val="21"/>
          <w:szCs w:val="21"/>
          <w:highlight w:val="none"/>
        </w:rPr>
      </w:pPr>
    </w:p>
    <w:p w14:paraId="24EB2EA2">
      <w:pPr>
        <w:pStyle w:val="2"/>
        <w:spacing w:before="312" w:after="312"/>
        <w:rPr>
          <w:rFonts w:ascii="Times New Roman" w:hAnsi="Times New Roman" w:eastAsia="宋体" w:cs="Times New Roman"/>
          <w:color w:val="auto"/>
          <w:highlight w:val="none"/>
        </w:rPr>
      </w:pPr>
      <w:bookmarkStart w:id="36" w:name="_Toc21446"/>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6656928"/>
      <w:bookmarkStart w:id="38" w:name="_Toc16069"/>
      <w:bookmarkStart w:id="39" w:name="_Toc29381_WPSOffice_Level2"/>
      <w:bookmarkStart w:id="40" w:name="_Toc19501"/>
      <w:bookmarkStart w:id="41" w:name="_Toc5546681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采购</w:t>
            </w:r>
            <w:r>
              <w:rPr>
                <w:rFonts w:hint="default"/>
                <w:color w:val="auto"/>
                <w:sz w:val="22"/>
                <w:szCs w:val="22"/>
                <w:highlight w:val="none"/>
              </w:rPr>
              <w:t>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eastAsia" w:eastAsiaTheme="minorEastAsia"/>
                <w:color w:val="auto"/>
                <w:sz w:val="22"/>
                <w:szCs w:val="22"/>
                <w:highlight w:val="none"/>
                <w:lang w:val="en-US" w:eastAsia="zh-CN"/>
              </w:rPr>
            </w:pPr>
            <w:r>
              <w:rPr>
                <w:rFonts w:hint="default"/>
                <w:color w:val="auto"/>
                <w:sz w:val="22"/>
                <w:szCs w:val="22"/>
                <w:highlight w:val="none"/>
              </w:rPr>
              <w:t>是否接受联合体</w:t>
            </w:r>
            <w:r>
              <w:rPr>
                <w:rFonts w:hint="eastAsia"/>
                <w:color w:val="auto"/>
                <w:sz w:val="22"/>
                <w:szCs w:val="22"/>
                <w:highlight w:val="none"/>
                <w:lang w:val="en-US" w:eastAsia="zh-CN"/>
              </w:rPr>
              <w:t>响应</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w:t>
            </w:r>
            <w:r>
              <w:rPr>
                <w:rFonts w:hint="eastAsia" w:ascii="宋体" w:hAnsi="宋体" w:eastAsia="宋体" w:cs="宋体"/>
                <w:color w:val="auto"/>
                <w:sz w:val="22"/>
                <w:szCs w:val="22"/>
                <w:highlight w:val="none"/>
                <w:lang w:val="en-US" w:eastAsia="zh-CN"/>
              </w:rPr>
              <w:t>同时</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应关注“安徽交控招采平台”（网址：zcpt.ahjkjt.com）、</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eastAsia="zh-CN"/>
              </w:rPr>
              <w:t>安徽交控建设工程集团</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rPr>
              <w:t>（网址：www.ahjggroup.com）的网站，及时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none"/>
                <w:lang w:val="en-US" w:eastAsia="zh-CN" w:bidi="ar"/>
              </w:rPr>
            </w:pPr>
            <w:r>
              <w:rPr>
                <w:rFonts w:hint="eastAsia" w:ascii="宋体" w:hAnsi="宋体" w:eastAsia="宋体" w:cs="宋体"/>
                <w:b/>
                <w:bCs w:val="0"/>
                <w:color w:val="auto"/>
                <w:kern w:val="2"/>
                <w:sz w:val="22"/>
                <w:szCs w:val="22"/>
                <w:highlight w:val="none"/>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none"/>
                <w:lang w:val="en-US" w:eastAsia="zh-CN" w:bidi="ar"/>
              </w:rPr>
              <w:t>在商务技术文件密封袋内必须同时用U盘放盖章版商务技术文件的扫描件一份（PDF版），在报价文件密封袋内用U盘放报价文件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val="en-US" w:eastAsia="zh-CN"/>
              </w:rPr>
              <w:t>响应</w:t>
            </w:r>
            <w:r>
              <w:rPr>
                <w:rFonts w:hint="default"/>
                <w:color w:val="auto"/>
                <w:sz w:val="22"/>
                <w:szCs w:val="22"/>
                <w:highlight w:val="none"/>
              </w:rPr>
              <w:t>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w:t>
            </w:r>
            <w:r>
              <w:rPr>
                <w:rFonts w:hint="eastAsia"/>
                <w:b/>
                <w:bCs/>
                <w:color w:val="auto"/>
                <w:sz w:val="22"/>
                <w:szCs w:val="22"/>
                <w:highlight w:val="none"/>
                <w:lang w:val="en-US" w:eastAsia="zh-CN"/>
              </w:rPr>
              <w:t>响应</w:t>
            </w:r>
            <w:r>
              <w:rPr>
                <w:rFonts w:hint="default"/>
                <w:b/>
                <w:bCs/>
                <w:color w:val="auto"/>
                <w:sz w:val="22"/>
                <w:szCs w:val="22"/>
                <w:highlight w:val="none"/>
              </w:rPr>
              <w:t>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w:t>
            </w:r>
            <w:r>
              <w:rPr>
                <w:rFonts w:hint="eastAsia"/>
                <w:color w:val="auto"/>
                <w:sz w:val="22"/>
                <w:szCs w:val="22"/>
                <w:highlight w:val="none"/>
                <w:lang w:val="en-US" w:eastAsia="zh-CN"/>
              </w:rPr>
              <w:t>响应</w:t>
            </w:r>
            <w:r>
              <w:rPr>
                <w:rFonts w:hint="default"/>
                <w:color w:val="auto"/>
                <w:sz w:val="22"/>
                <w:szCs w:val="22"/>
                <w:highlight w:val="none"/>
              </w:rPr>
              <w:t>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保证金的到账截止时间：</w:t>
            </w:r>
            <w:r>
              <w:rPr>
                <w:rFonts w:hint="eastAsia" w:eastAsia="宋体"/>
                <w:color w:val="auto"/>
                <w:sz w:val="22"/>
                <w:szCs w:val="22"/>
                <w:highlight w:val="none"/>
                <w:u w:val="none"/>
                <w:lang w:val="en-US" w:eastAsia="zh-CN"/>
              </w:rPr>
              <w:t>响应</w:t>
            </w:r>
            <w:r>
              <w:rPr>
                <w:rFonts w:hint="eastAsia" w:eastAsia="宋体"/>
                <w:color w:val="auto"/>
                <w:sz w:val="22"/>
                <w:szCs w:val="22"/>
                <w:highlight w:val="none"/>
                <w:u w:val="none"/>
                <w:lang w:eastAsia="zh-CN"/>
              </w:rPr>
              <w:t>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w:t>
            </w:r>
            <w:r>
              <w:rPr>
                <w:rFonts w:hint="eastAsia"/>
                <w:color w:val="auto"/>
                <w:sz w:val="22"/>
                <w:szCs w:val="22"/>
                <w:highlight w:val="none"/>
                <w:lang w:val="en-US" w:eastAsia="zh-CN"/>
              </w:rPr>
              <w:t>响应</w:t>
            </w:r>
            <w:r>
              <w:rPr>
                <w:rFonts w:hint="default"/>
                <w:color w:val="auto"/>
                <w:sz w:val="22"/>
                <w:szCs w:val="22"/>
                <w:highlight w:val="none"/>
              </w:rPr>
              <w:t>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w:t>
            </w:r>
            <w:r>
              <w:rPr>
                <w:rFonts w:hint="eastAsia"/>
                <w:color w:val="auto"/>
                <w:sz w:val="22"/>
                <w:szCs w:val="22"/>
                <w:highlight w:val="none"/>
                <w:lang w:val="en-US" w:eastAsia="zh-CN"/>
              </w:rPr>
              <w:t>成交</w:t>
            </w:r>
            <w:r>
              <w:rPr>
                <w:rFonts w:hint="default"/>
                <w:color w:val="auto"/>
                <w:sz w:val="22"/>
                <w:szCs w:val="22"/>
                <w:highlight w:val="none"/>
              </w:rPr>
              <w:t>候选人放弃</w:t>
            </w:r>
            <w:r>
              <w:rPr>
                <w:rFonts w:hint="eastAsia"/>
                <w:color w:val="auto"/>
                <w:sz w:val="22"/>
                <w:szCs w:val="22"/>
                <w:highlight w:val="none"/>
                <w:lang w:val="en-US" w:eastAsia="zh-CN"/>
              </w:rPr>
              <w:t>成交</w:t>
            </w:r>
            <w:r>
              <w:rPr>
                <w:rFonts w:hint="default"/>
                <w:color w:val="auto"/>
                <w:sz w:val="22"/>
                <w:szCs w:val="22"/>
                <w:highlight w:val="none"/>
              </w:rPr>
              <w:t>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w:t>
            </w:r>
            <w:r>
              <w:rPr>
                <w:rFonts w:hint="eastAsia"/>
                <w:color w:val="auto"/>
                <w:sz w:val="22"/>
                <w:szCs w:val="22"/>
                <w:highlight w:val="none"/>
                <w:lang w:val="en-US" w:eastAsia="zh-CN"/>
              </w:rPr>
              <w:t>响应</w:t>
            </w:r>
            <w:r>
              <w:rPr>
                <w:rFonts w:hint="default"/>
                <w:color w:val="auto"/>
                <w:sz w:val="22"/>
                <w:szCs w:val="22"/>
                <w:highlight w:val="none"/>
              </w:rPr>
              <w:t>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w:t>
            </w:r>
            <w:r>
              <w:rPr>
                <w:rFonts w:hint="eastAsia"/>
                <w:color w:val="auto"/>
                <w:sz w:val="22"/>
                <w:szCs w:val="22"/>
                <w:highlight w:val="none"/>
                <w:lang w:val="en-US" w:eastAsia="zh-CN"/>
              </w:rPr>
              <w:t>响应</w:t>
            </w:r>
            <w:r>
              <w:rPr>
                <w:rFonts w:hint="default"/>
                <w:color w:val="auto"/>
                <w:sz w:val="22"/>
                <w:szCs w:val="22"/>
                <w:highlight w:val="none"/>
              </w:rPr>
              <w:t>、以行贿谋取</w:t>
            </w:r>
            <w:r>
              <w:rPr>
                <w:rFonts w:hint="eastAsia"/>
                <w:color w:val="auto"/>
                <w:sz w:val="22"/>
                <w:szCs w:val="22"/>
                <w:highlight w:val="none"/>
                <w:lang w:val="en-US" w:eastAsia="zh-CN"/>
              </w:rPr>
              <w:t>成交</w:t>
            </w:r>
            <w:r>
              <w:rPr>
                <w:rFonts w:hint="default"/>
                <w:color w:val="auto"/>
                <w:sz w:val="22"/>
                <w:szCs w:val="22"/>
                <w:highlight w:val="none"/>
              </w:rPr>
              <w:t>、无正当理由放弃</w:t>
            </w:r>
            <w:r>
              <w:rPr>
                <w:rFonts w:hint="eastAsia"/>
                <w:color w:val="auto"/>
                <w:sz w:val="22"/>
                <w:szCs w:val="22"/>
                <w:highlight w:val="none"/>
                <w:lang w:val="en-US" w:eastAsia="zh-CN"/>
              </w:rPr>
              <w:t>成交</w:t>
            </w:r>
            <w:r>
              <w:rPr>
                <w:rFonts w:hint="default"/>
                <w:color w:val="auto"/>
                <w:sz w:val="22"/>
                <w:szCs w:val="22"/>
                <w:highlight w:val="none"/>
              </w:rPr>
              <w:t>以及进行恶意投诉等</w:t>
            </w:r>
            <w:r>
              <w:rPr>
                <w:rFonts w:hint="eastAsia"/>
                <w:color w:val="auto"/>
                <w:sz w:val="22"/>
                <w:szCs w:val="22"/>
                <w:highlight w:val="none"/>
                <w:lang w:val="en-US" w:eastAsia="zh-CN"/>
              </w:rPr>
              <w:t>响应</w:t>
            </w:r>
            <w:r>
              <w:rPr>
                <w:rFonts w:hint="default"/>
                <w:color w:val="auto"/>
                <w:sz w:val="22"/>
                <w:szCs w:val="22"/>
                <w:highlight w:val="none"/>
              </w:rPr>
              <w:t>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cs="宋体"/>
                <w:color w:val="auto"/>
                <w:sz w:val="22"/>
                <w:szCs w:val="22"/>
                <w:highlight w:val="none"/>
                <w:u w:val="single"/>
                <w:lang w:val="en-US" w:eastAsia="zh-CN"/>
              </w:rPr>
              <w:t>2022</w:t>
            </w:r>
            <w:r>
              <w:rPr>
                <w:rFonts w:hint="eastAsia" w:ascii="宋体" w:hAnsi="宋体" w:cs="宋体"/>
                <w:color w:val="auto"/>
                <w:sz w:val="22"/>
                <w:szCs w:val="22"/>
                <w:highlight w:val="none"/>
              </w:rPr>
              <w:t>年</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cs="宋体"/>
                <w:color w:val="auto"/>
                <w:sz w:val="22"/>
                <w:szCs w:val="22"/>
                <w:highlight w:val="none"/>
                <w:u w:val="single"/>
                <w:lang w:val="en-US" w:eastAsia="zh-CN"/>
              </w:rPr>
              <w:t>1</w:t>
            </w:r>
            <w:r>
              <w:rPr>
                <w:rFonts w:hint="eastAsia" w:ascii="宋体" w:hAnsi="宋体" w:cs="宋体"/>
                <w:color w:val="auto"/>
                <w:sz w:val="22"/>
                <w:szCs w:val="22"/>
                <w:highlight w:val="none"/>
              </w:rPr>
              <w:t>日</w:t>
            </w:r>
            <w:r>
              <w:rPr>
                <w:rFonts w:hint="default"/>
                <w:color w:val="auto"/>
                <w:sz w:val="22"/>
                <w:szCs w:val="22"/>
                <w:highlight w:val="none"/>
              </w:rPr>
              <w:t>至</w:t>
            </w:r>
            <w:r>
              <w:rPr>
                <w:rFonts w:hint="eastAsia"/>
                <w:color w:val="auto"/>
                <w:sz w:val="22"/>
                <w:szCs w:val="22"/>
                <w:highlight w:val="none"/>
                <w:lang w:val="en-US" w:eastAsia="zh-CN"/>
              </w:rPr>
              <w:t>响应</w:t>
            </w:r>
            <w:r>
              <w:rPr>
                <w:rFonts w:hint="default"/>
                <w:color w:val="auto"/>
                <w:sz w:val="22"/>
                <w:szCs w:val="22"/>
                <w:highlight w:val="none"/>
              </w:rPr>
              <w:t>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w:t>
            </w:r>
            <w:r>
              <w:rPr>
                <w:rFonts w:hint="eastAsia"/>
                <w:color w:val="auto"/>
                <w:sz w:val="22"/>
                <w:szCs w:val="22"/>
                <w:highlight w:val="none"/>
                <w:lang w:val="en-US" w:eastAsia="zh-CN"/>
              </w:rPr>
              <w:t>响应</w:t>
            </w:r>
            <w:r>
              <w:rPr>
                <w:rFonts w:hint="default"/>
                <w:color w:val="auto"/>
                <w:sz w:val="22"/>
                <w:szCs w:val="22"/>
                <w:highlight w:val="none"/>
              </w:rPr>
              <w:t>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评审</w:t>
            </w:r>
            <w:r>
              <w:rPr>
                <w:rFonts w:hint="eastAsia" w:ascii="宋体" w:hAnsi="宋体" w:cs="宋体"/>
                <w:color w:val="auto"/>
                <w:sz w:val="22"/>
                <w:szCs w:val="22"/>
                <w:highlight w:val="none"/>
              </w:rPr>
              <w:t>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密封情况检查：宣布评审后，供应商代表互检响应文件密封及递交情况，并就检查结果明确意见。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val="en-US" w:eastAsia="zh-CN"/>
              </w:rPr>
              <w:t>评审</w:t>
            </w:r>
            <w:r>
              <w:rPr>
                <w:rFonts w:hint="default"/>
                <w:color w:val="auto"/>
                <w:sz w:val="22"/>
                <w:szCs w:val="22"/>
                <w:highlight w:val="none"/>
              </w:rPr>
              <w:t>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w:t>
            </w:r>
            <w:r>
              <w:rPr>
                <w:rFonts w:hint="eastAsia"/>
                <w:color w:val="auto"/>
                <w:sz w:val="22"/>
                <w:szCs w:val="22"/>
                <w:highlight w:val="none"/>
                <w:lang w:val="en-US" w:eastAsia="zh-CN"/>
              </w:rPr>
              <w:t>审</w:t>
            </w:r>
            <w:r>
              <w:rPr>
                <w:rFonts w:hint="default"/>
                <w:color w:val="auto"/>
                <w:sz w:val="22"/>
                <w:szCs w:val="22"/>
                <w:highlight w:val="none"/>
              </w:rPr>
              <w:t>专家确定方式：符合规定的评</w:t>
            </w:r>
            <w:r>
              <w:rPr>
                <w:rFonts w:hint="eastAsia"/>
                <w:color w:val="auto"/>
                <w:sz w:val="22"/>
                <w:szCs w:val="22"/>
                <w:highlight w:val="none"/>
                <w:lang w:val="en-US" w:eastAsia="zh-CN"/>
              </w:rPr>
              <w:t>审</w:t>
            </w:r>
            <w:r>
              <w:rPr>
                <w:rFonts w:hint="default"/>
                <w:color w:val="auto"/>
                <w:sz w:val="22"/>
                <w:szCs w:val="22"/>
                <w:highlight w:val="none"/>
              </w:rPr>
              <w:t>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w:t>
            </w:r>
            <w:r>
              <w:rPr>
                <w:rFonts w:hint="eastAsia"/>
                <w:color w:val="auto"/>
                <w:sz w:val="22"/>
                <w:szCs w:val="22"/>
                <w:highlight w:val="none"/>
                <w:lang w:val="en-US" w:eastAsia="zh-CN"/>
              </w:rPr>
              <w:t>成交</w:t>
            </w:r>
            <w:r>
              <w:rPr>
                <w:rFonts w:hint="default"/>
                <w:color w:val="auto"/>
                <w:sz w:val="22"/>
                <w:szCs w:val="22"/>
                <w:highlight w:val="none"/>
              </w:rPr>
              <w:t>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w:t>
            </w:r>
            <w:r>
              <w:rPr>
                <w:rFonts w:hint="eastAsia"/>
                <w:color w:val="auto"/>
                <w:sz w:val="22"/>
                <w:szCs w:val="22"/>
                <w:highlight w:val="none"/>
                <w:lang w:val="en-US" w:eastAsia="zh-CN"/>
              </w:rPr>
              <w:t>审</w:t>
            </w:r>
            <w:r>
              <w:rPr>
                <w:rFonts w:hint="eastAsia"/>
                <w:color w:val="auto"/>
                <w:sz w:val="22"/>
                <w:szCs w:val="22"/>
                <w:highlight w:val="none"/>
              </w:rPr>
              <w:t>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val="en-US" w:eastAsia="zh-CN"/>
              </w:rPr>
              <w:t>成交</w:t>
            </w:r>
            <w:r>
              <w:rPr>
                <w:rFonts w:hint="default"/>
                <w:color w:val="auto"/>
                <w:sz w:val="22"/>
                <w:szCs w:val="22"/>
                <w:highlight w:val="none"/>
              </w:rPr>
              <w:t>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公示媒介：“安徽交控招采平台”（网址：zcpt.ahjkjt.com）、“安徽交控建设工程集团”（网址：www.ahjggroup.com）</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w:t>
            </w:r>
            <w:r>
              <w:rPr>
                <w:rFonts w:hint="eastAsia"/>
                <w:color w:val="auto"/>
                <w:sz w:val="22"/>
                <w:szCs w:val="22"/>
                <w:highlight w:val="none"/>
                <w:lang w:val="en-US" w:eastAsia="zh-CN"/>
              </w:rPr>
              <w:t>成交</w:t>
            </w:r>
            <w:r>
              <w:rPr>
                <w:rFonts w:hint="eastAsia"/>
                <w:color w:val="auto"/>
                <w:sz w:val="22"/>
                <w:szCs w:val="22"/>
                <w:highlight w:val="none"/>
                <w:lang w:eastAsia="zh-CN"/>
              </w:rPr>
              <w:t>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成交公示后</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在</w:t>
            </w:r>
            <w:r>
              <w:rPr>
                <w:rFonts w:hint="eastAsia" w:ascii="宋体" w:hAnsi="宋体" w:eastAsia="宋体" w:cs="宋体"/>
                <w:color w:val="auto"/>
                <w:szCs w:val="21"/>
                <w:highlight w:val="none"/>
                <w:lang w:val="en-US" w:eastAsia="zh-CN"/>
              </w:rPr>
              <w:t>合同签订前，乙方需向甲方支付合同总价</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履约保证金</w:t>
            </w:r>
            <w:r>
              <w:rPr>
                <w:rFonts w:hint="eastAsia" w:ascii="宋体" w:hAnsi="宋体" w:eastAsia="宋体" w:cs="宋体"/>
                <w:color w:val="auto"/>
                <w:szCs w:val="21"/>
                <w:highlight w:val="none"/>
                <w:lang w:val="en-US" w:eastAsia="zh-CN"/>
              </w:rPr>
              <w:t>或提供合同总价</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lang w:val="en-US" w:eastAsia="zh-CN"/>
              </w:rPr>
              <w:t>的银行保函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color w:val="auto"/>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w:t>
            </w:r>
            <w:r>
              <w:rPr>
                <w:rFonts w:hint="eastAsia"/>
                <w:color w:val="auto"/>
                <w:sz w:val="22"/>
                <w:szCs w:val="22"/>
                <w:highlight w:val="none"/>
                <w:lang w:val="en-US" w:eastAsia="zh-CN"/>
              </w:rPr>
              <w:t>采购</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2EEFD3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4ED376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1"/>
                <w:highlight w:val="none"/>
                <w:lang w:val="en-US" w:eastAsia="zh-CN" w:bidi="ar-SA"/>
              </w:rPr>
            </w:pPr>
            <w:r>
              <w:rPr>
                <w:rFonts w:hint="eastAsia" w:cstheme="minorBidi"/>
                <w:color w:val="auto"/>
                <w:kern w:val="2"/>
                <w:sz w:val="22"/>
                <w:szCs w:val="21"/>
                <w:highlight w:val="none"/>
                <w:lang w:val="en-US" w:eastAsia="zh-CN" w:bidi="ar-SA"/>
              </w:rPr>
              <w:t>50</w:t>
            </w:r>
          </w:p>
        </w:tc>
        <w:tc>
          <w:tcPr>
            <w:tcW w:w="2193" w:type="dxa"/>
            <w:shd w:val="clear" w:color="auto" w:fill="auto"/>
            <w:vAlign w:val="center"/>
          </w:tcPr>
          <w:p w14:paraId="01E4BD2E">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auto"/>
                <w:kern w:val="0"/>
                <w:sz w:val="22"/>
                <w:szCs w:val="22"/>
                <w:highlight w:val="none"/>
                <w:lang w:val="en-US" w:eastAsia="zh-CN" w:bidi="ar"/>
              </w:rPr>
            </w:pPr>
            <w:r>
              <w:rPr>
                <w:rFonts w:hint="eastAsia" w:ascii="宋体" w:hAnsi="宋体" w:eastAsia="宋体" w:cs="宋体"/>
                <w:b/>
                <w:color w:val="auto"/>
                <w:kern w:val="0"/>
                <w:sz w:val="22"/>
                <w:szCs w:val="22"/>
                <w:highlight w:val="none"/>
                <w:lang w:val="en-US" w:eastAsia="zh-CN" w:bidi="ar"/>
              </w:rPr>
              <w:t>送样</w:t>
            </w:r>
          </w:p>
        </w:tc>
        <w:tc>
          <w:tcPr>
            <w:tcW w:w="6347" w:type="dxa"/>
            <w:shd w:val="clear" w:color="auto" w:fill="auto"/>
            <w:vAlign w:val="center"/>
          </w:tcPr>
          <w:p w14:paraId="25AF57FA">
            <w:pPr>
              <w:keepNext w:val="0"/>
              <w:keepLines w:val="0"/>
              <w:widowControl/>
              <w:numPr>
                <w:ilvl w:val="0"/>
                <w:numId w:val="0"/>
              </w:numPr>
              <w:suppressLineNumbers w:val="0"/>
              <w:spacing w:before="0" w:beforeLines="0" w:beforeAutospacing="0" w:after="0" w:afterLines="0" w:afterAutospacing="0"/>
              <w:ind w:left="218" w:leftChars="104" w:right="0" w:rightChars="0" w:firstLine="220" w:firstLineChars="1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none"/>
                <w:lang w:val="en-US" w:eastAsia="zh-CN"/>
              </w:rPr>
              <w:t>1.</w:t>
            </w:r>
            <w:r>
              <w:rPr>
                <w:rFonts w:hint="eastAsia" w:ascii="宋体" w:hAnsi="宋体" w:eastAsia="宋体" w:cs="宋体"/>
                <w:color w:val="auto"/>
                <w:sz w:val="22"/>
                <w:szCs w:val="22"/>
                <w:highlight w:val="none"/>
                <w:lang w:val="en-US" w:eastAsia="zh-CN"/>
              </w:rPr>
              <w:t xml:space="preserve">供应商须在响应前自行前往 </w:t>
            </w:r>
            <w:r>
              <w:rPr>
                <w:rFonts w:hint="eastAsia" w:ascii="宋体" w:hAnsi="宋体" w:eastAsia="宋体" w:cs="宋体"/>
                <w:color w:val="auto"/>
                <w:sz w:val="22"/>
                <w:szCs w:val="22"/>
                <w:highlight w:val="none"/>
                <w:u w:val="single"/>
                <w:lang w:val="en-US" w:eastAsia="zh-CN"/>
              </w:rPr>
              <w:t>项目部（</w:t>
            </w:r>
            <w:r>
              <w:rPr>
                <w:rFonts w:hint="eastAsia" w:ascii="宋体" w:hAnsi="宋体" w:eastAsia="宋体" w:cs="宋体"/>
                <w:color w:val="auto"/>
                <w:sz w:val="22"/>
                <w:szCs w:val="22"/>
                <w:highlight w:val="none"/>
                <w:lang w:val="en-US" w:eastAsia="zh-CN"/>
              </w:rPr>
              <w:t>联系人：</w:t>
            </w:r>
            <w:r>
              <w:rPr>
                <w:rFonts w:hint="eastAsia" w:ascii="宋体" w:hAnsi="宋体" w:eastAsia="宋体" w:cs="宋体"/>
                <w:color w:val="auto"/>
                <w:sz w:val="22"/>
                <w:szCs w:val="22"/>
                <w:highlight w:val="none"/>
                <w:u w:val="single"/>
                <w:lang w:val="en-US" w:eastAsia="zh-CN"/>
              </w:rPr>
              <w:t>周工15855127123）</w:t>
            </w:r>
            <w:r>
              <w:rPr>
                <w:rFonts w:hint="eastAsia" w:ascii="宋体" w:hAnsi="宋体" w:eastAsia="宋体" w:cs="宋体"/>
                <w:color w:val="auto"/>
                <w:sz w:val="22"/>
                <w:szCs w:val="22"/>
                <w:highlight w:val="none"/>
                <w:lang w:val="en-US" w:eastAsia="zh-CN"/>
              </w:rPr>
              <w:t>进行</w:t>
            </w:r>
            <w:r>
              <w:rPr>
                <w:rFonts w:hint="eastAsia" w:ascii="Times New Roman" w:hAnsi="Times New Roman"/>
                <w:b w:val="0"/>
                <w:bCs w:val="0"/>
                <w:color w:val="auto"/>
                <w:sz w:val="21"/>
                <w:szCs w:val="24"/>
                <w:highlight w:val="none"/>
                <w:lang w:val="en-US" w:eastAsia="zh-CN"/>
              </w:rPr>
              <w:t>采购前看样</w:t>
            </w:r>
            <w:r>
              <w:rPr>
                <w:rFonts w:hint="eastAsia" w:ascii="宋体" w:hAnsi="宋体" w:eastAsia="宋体" w:cs="宋体"/>
                <w:color w:val="auto"/>
                <w:sz w:val="22"/>
                <w:szCs w:val="22"/>
                <w:highlight w:val="none"/>
                <w:lang w:val="en-US" w:eastAsia="zh-CN"/>
              </w:rPr>
              <w:t>。</w:t>
            </w:r>
          </w:p>
          <w:p w14:paraId="5D80C0AA">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2.拟成交人须在采购人通知之日起</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lang w:val="en-US" w:eastAsia="zh-CN"/>
              </w:rPr>
              <w:t xml:space="preserve">日内重新送样并经采购人确认、封样，产品生产工艺要求等参照确样标准执行，主辅材品牌需报采购人同意后方可使用，如所送样品不符合产品要求或在供应过程中达不到采购人要求的： </w:t>
            </w:r>
          </w:p>
          <w:p w14:paraId="14B782ED">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1）采购人有权终止成交候选人资格，并没收响应保证金；按候选人公示顺延成交人或重新采购。 </w:t>
            </w:r>
          </w:p>
          <w:p w14:paraId="2402C797">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2）采购人有权终止合同，并依据合同规定追究法律责任。 </w:t>
            </w:r>
          </w:p>
          <w:p w14:paraId="3A749900">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3）采购人有权对拟成交人违约行为按照约定进行处罚。 </w:t>
            </w:r>
          </w:p>
          <w:p w14:paraId="76455339">
            <w:pPr>
              <w:keepNext w:val="0"/>
              <w:keepLines w:val="0"/>
              <w:widowControl/>
              <w:suppressLineNumbers w:val="0"/>
              <w:spacing w:before="0" w:beforeLines="0" w:beforeAutospacing="0" w:after="0" w:afterLines="0" w:afterAutospacing="0"/>
              <w:ind w:left="0" w:leftChars="0" w:right="0" w:rightChars="0" w:firstLine="440" w:firstLineChars="20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4）采购人有权将未完成的供货部分移交给第三方实施，供应商应无条件配合相关移交工作。</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w:t>
            </w:r>
            <w:r>
              <w:rPr>
                <w:rFonts w:hint="eastAsia"/>
                <w:color w:val="auto"/>
                <w:spacing w:val="-3"/>
                <w:kern w:val="0"/>
                <w:sz w:val="22"/>
                <w:szCs w:val="22"/>
                <w:highlight w:val="none"/>
                <w:lang w:val="en-US" w:eastAsia="zh-CN"/>
              </w:rPr>
              <w:t>审</w:t>
            </w:r>
            <w:r>
              <w:rPr>
                <w:rFonts w:hint="default"/>
                <w:color w:val="auto"/>
                <w:spacing w:val="-3"/>
                <w:kern w:val="0"/>
                <w:sz w:val="22"/>
                <w:szCs w:val="22"/>
                <w:highlight w:val="none"/>
              </w:rPr>
              <w:t>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26656938"/>
            <w:bookmarkStart w:id="43" w:name="_Toc9067720"/>
            <w:bookmarkStart w:id="44" w:name="_Toc14201207"/>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1.本项目后期有可能涉及部分产品的优化及深化设计，响应单位在响应报价时应充分考虑此部分的费用，根据自身因素、综合条件、市场风险自行报价，成交后不予调整。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470702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0A49FB1">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color w:val="auto"/>
                <w:sz w:val="22"/>
                <w:szCs w:val="21"/>
                <w:highlight w:val="none"/>
                <w:lang w:val="en-US" w:eastAsia="zh-CN"/>
              </w:rPr>
              <w:t>53</w:t>
            </w:r>
          </w:p>
        </w:tc>
        <w:tc>
          <w:tcPr>
            <w:tcW w:w="8540" w:type="dxa"/>
            <w:gridSpan w:val="2"/>
            <w:vAlign w:val="center"/>
          </w:tcPr>
          <w:p w14:paraId="55EFA7B8">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本采购项目不接受不平衡报价，若成交人的响应单价存在不平衡报价，采购人将在合同谈判时或结算中要求在保持签约合同价不变的前提下调整单价，成交人应接受采购人的上述约定。</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146F2141">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 xml:space="preserve">①具备独立法人资格，持有有效的营业执照。  </w:t>
            </w:r>
          </w:p>
          <w:p w14:paraId="1DF8031F">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color w:val="auto"/>
                <w:sz w:val="22"/>
                <w:szCs w:val="22"/>
                <w:highlight w:val="none"/>
              </w:rPr>
              <w:t>②制造商/厂家参与询比的，应具备有生产、销售采购人所需材料的能力；经销商/代理商参加询比的，应具备销售采购人所需材料的能力（提供所投产品业绩进行证明）。</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w:t>
            </w: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日以来，单项合同额不低于200万元的不锈钢或隔断、艺术玻璃合同业绩，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w:t>
      </w:r>
      <w:r>
        <w:rPr>
          <w:rFonts w:hint="eastAsia"/>
          <w:color w:val="auto"/>
          <w:highlight w:val="none"/>
          <w:lang w:val="en-US" w:eastAsia="zh-CN"/>
        </w:rPr>
        <w:t>响应</w:t>
      </w:r>
      <w:r>
        <w:rPr>
          <w:rFonts w:hint="eastAsia"/>
          <w:color w:val="auto"/>
          <w:highlight w:val="none"/>
        </w:rPr>
        <w:t>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w:t>
            </w:r>
            <w:r>
              <w:rPr>
                <w:rFonts w:hint="eastAsia"/>
                <w:color w:val="auto"/>
                <w:highlight w:val="none"/>
                <w:lang w:val="en-US" w:eastAsia="zh-CN"/>
              </w:rPr>
              <w:t>响应</w:t>
            </w:r>
            <w:r>
              <w:rPr>
                <w:rFonts w:hint="eastAsia"/>
                <w:color w:val="auto"/>
                <w:highlight w:val="none"/>
              </w:rPr>
              <w:t>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w:t>
            </w:r>
            <w:r>
              <w:rPr>
                <w:rFonts w:hint="eastAsia"/>
                <w:color w:val="auto"/>
                <w:highlight w:val="none"/>
                <w:lang w:val="en-US" w:eastAsia="zh-CN"/>
              </w:rPr>
              <w:t>响应</w:t>
            </w:r>
            <w:r>
              <w:rPr>
                <w:rFonts w:hint="eastAsia"/>
                <w:color w:val="auto"/>
                <w:highlight w:val="none"/>
              </w:rPr>
              <w:t>人未被人民法院列入失信被执行人（以“信用中国”官网www.creditchina.gov.cn查询为准）。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w:t>
            </w:r>
            <w:r>
              <w:rPr>
                <w:rFonts w:hint="eastAsia"/>
                <w:color w:val="auto"/>
                <w:highlight w:val="none"/>
                <w:lang w:val="en-US" w:eastAsia="zh-CN"/>
              </w:rPr>
              <w:t>响应</w:t>
            </w:r>
            <w:r>
              <w:rPr>
                <w:rFonts w:hint="eastAsia"/>
                <w:color w:val="auto"/>
                <w:highlight w:val="none"/>
              </w:rPr>
              <w:t>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color w:val="auto"/>
          <w:sz w:val="24"/>
          <w:szCs w:val="24"/>
          <w:highlight w:val="none"/>
        </w:rPr>
      </w:pPr>
    </w:p>
    <w:p w14:paraId="09FA73C9">
      <w:pPr>
        <w:pStyle w:val="8"/>
        <w:rPr>
          <w:rFonts w:hint="eastAsia"/>
          <w:color w:val="auto"/>
          <w:highlight w:val="none"/>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5673F0D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ascii="Times New Roman" w:hAnsi="Times New Roman" w:cs="Times New Roman"/>
          <w:color w:val="auto"/>
          <w:highlight w:val="none"/>
        </w:rPr>
        <w:t>）采购需求及清单；</w:t>
      </w:r>
    </w:p>
    <w:p w14:paraId="2ACE91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3.4.3 采购人在与成交人签订合同后</w:t>
      </w:r>
      <w:r>
        <w:rPr>
          <w:rFonts w:hint="eastAsia" w:ascii="Times New Roman" w:hAnsi="Times New Roman" w:cs="Times New Roman"/>
          <w:color w:val="auto"/>
          <w:highlight w:val="none"/>
          <w:lang w:val="en-US" w:eastAsia="zh-CN"/>
        </w:rPr>
        <w:t>10</w:t>
      </w:r>
      <w:r>
        <w:rPr>
          <w:rFonts w:ascii="Times New Roman" w:hAnsi="Times New Roman" w:cs="Times New Roman"/>
          <w:color w:val="auto"/>
          <w:highlight w:val="none"/>
        </w:rPr>
        <w:t>日内</w:t>
      </w:r>
      <w:r>
        <w:rPr>
          <w:rFonts w:hint="eastAsia" w:ascii="Times New Roman" w:hAnsi="Times New Roman" w:cs="Times New Roman"/>
          <w:color w:val="auto"/>
          <w:highlight w:val="none"/>
          <w:lang w:val="en-US" w:eastAsia="zh-CN"/>
        </w:rPr>
        <w:t>向未成交人办理</w:t>
      </w:r>
      <w:r>
        <w:rPr>
          <w:rFonts w:ascii="Times New Roman" w:hAnsi="Times New Roman" w:cs="Times New Roman"/>
          <w:color w:val="auto"/>
          <w:highlight w:val="none"/>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成交公示</w:t>
      </w:r>
      <w:r>
        <w:rPr>
          <w:rFonts w:hint="eastAsia" w:ascii="Times New Roman" w:hAnsi="Times New Roman" w:cs="Times New Roman"/>
          <w:color w:val="auto"/>
          <w:highlight w:val="none"/>
        </w:rPr>
        <w:t>后，</w:t>
      </w:r>
      <w:r>
        <w:rPr>
          <w:rFonts w:hint="eastAsia" w:ascii="Times New Roman" w:hAnsi="Times New Roman" w:cs="Times New Roman"/>
          <w:color w:val="auto"/>
          <w:highlight w:val="none"/>
          <w:lang w:eastAsia="zh-CN"/>
        </w:rPr>
        <w:t>在</w:t>
      </w:r>
      <w:r>
        <w:rPr>
          <w:rFonts w:hint="eastAsia" w:ascii="Times New Roman" w:hAnsi="Times New Roman" w:cs="Times New Roman"/>
          <w:color w:val="auto"/>
          <w:highlight w:val="none"/>
          <w:lang w:val="en-US" w:eastAsia="zh-CN"/>
        </w:rPr>
        <w:t>合同签订前，乙方需向甲方支付合同总价</w:t>
      </w:r>
      <w:r>
        <w:rPr>
          <w:rFonts w:hint="eastAsia" w:ascii="Times New Roman" w:hAnsi="Times New Roman" w:cs="Times New Roman"/>
          <w:color w:val="auto"/>
          <w:highlight w:val="none"/>
          <w:u w:val="single"/>
          <w:lang w:val="en-US" w:eastAsia="zh-CN"/>
        </w:rPr>
        <w:t>3%</w:t>
      </w:r>
      <w:r>
        <w:rPr>
          <w:rFonts w:hint="eastAsia" w:ascii="Times New Roman" w:hAnsi="Times New Roman" w:cs="Times New Roman"/>
          <w:color w:val="auto"/>
          <w:highlight w:val="none"/>
          <w:lang w:val="en-US" w:eastAsia="zh-CN"/>
        </w:rPr>
        <w:t>的</w:t>
      </w:r>
      <w:r>
        <w:rPr>
          <w:rFonts w:hint="eastAsia" w:ascii="Times New Roman" w:hAnsi="Times New Roman" w:cs="Times New Roman"/>
          <w:color w:val="auto"/>
          <w:highlight w:val="none"/>
        </w:rPr>
        <w:t>履约保证金</w:t>
      </w:r>
      <w:r>
        <w:rPr>
          <w:rFonts w:hint="eastAsia" w:ascii="Times New Roman" w:hAnsi="Times New Roman" w:cs="Times New Roman"/>
          <w:color w:val="auto"/>
          <w:highlight w:val="none"/>
          <w:lang w:val="en-US" w:eastAsia="zh-CN"/>
        </w:rPr>
        <w:t>或提供合同总价</w:t>
      </w:r>
      <w:r>
        <w:rPr>
          <w:rFonts w:hint="eastAsia" w:ascii="Times New Roman" w:hAnsi="Times New Roman" w:cs="Times New Roman"/>
          <w:color w:val="auto"/>
          <w:highlight w:val="none"/>
          <w:u w:val="single"/>
          <w:lang w:val="en-US" w:eastAsia="zh-CN"/>
        </w:rPr>
        <w:t>5%</w:t>
      </w:r>
      <w:r>
        <w:rPr>
          <w:rFonts w:hint="eastAsia" w:ascii="Times New Roman" w:hAnsi="Times New Roman" w:cs="Times New Roman"/>
          <w:color w:val="auto"/>
          <w:highlight w:val="none"/>
          <w:lang w:val="en-US" w:eastAsia="zh-CN"/>
        </w:rPr>
        <w:t>的银行保函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14201257"/>
      <w:bookmarkStart w:id="48" w:name="_Toc906772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9067731"/>
      <w:bookmarkStart w:id="53" w:name="_Toc26656994"/>
      <w:bookmarkStart w:id="54" w:name="_Toc14201263"/>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0B184D13">
      <w:pPr>
        <w:pStyle w:val="8"/>
        <w:rPr>
          <w:rFonts w:hint="eastAsia"/>
          <w:color w:val="auto"/>
          <w:highlight w:val="none"/>
        </w:rPr>
      </w:pPr>
    </w:p>
    <w:p w14:paraId="5E61470F">
      <w:pPr>
        <w:pStyle w:val="9"/>
        <w:rPr>
          <w:rFonts w:hint="eastAsia"/>
          <w:color w:val="auto"/>
          <w:highlight w:val="none"/>
        </w:rPr>
      </w:pPr>
    </w:p>
    <w:p w14:paraId="7A1021F4">
      <w:pPr>
        <w:pStyle w:val="10"/>
        <w:rPr>
          <w:rFonts w:hint="eastAsia"/>
          <w:color w:val="auto"/>
          <w:highlight w:val="none"/>
        </w:rPr>
      </w:pPr>
    </w:p>
    <w:p w14:paraId="60CB4B2C">
      <w:pPr>
        <w:rPr>
          <w:rFonts w:hint="eastAsia"/>
          <w:color w:val="auto"/>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13134"/>
      <w:r>
        <w:rPr>
          <w:rFonts w:ascii="Times New Roman" w:hAnsi="Times New Roman" w:eastAsia="宋体" w:cs="Times New Roman"/>
          <w:color w:val="auto"/>
          <w:highlight w:val="none"/>
        </w:rPr>
        <w:t>评审办法</w:t>
      </w:r>
      <w:bookmarkEnd w:id="55"/>
    </w:p>
    <w:p w14:paraId="6DB66417">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3834"/>
      <w:bookmarkStart w:id="57" w:name="_Toc14847"/>
      <w:bookmarkStart w:id="58" w:name="_Toc152045528"/>
      <w:bookmarkStart w:id="59" w:name="_Toc447808662"/>
      <w:bookmarkStart w:id="60" w:name="_Toc457482536"/>
      <w:bookmarkStart w:id="61" w:name="_Toc152042304"/>
      <w:bookmarkStart w:id="62" w:name="_Toc144974496"/>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评审委员会对通过初步评审的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人的商务及技术文件进行评分，按得分由高到低排序确定前N名。对排名前N名的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人的报价文件进行评审，按照评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价由低到高的顺序推荐3名</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委员会按评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价由低到高顺序推荐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候选人，评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价相等时，评</w:t>
            </w:r>
            <w:r>
              <w:rPr>
                <w:rFonts w:hint="eastAsia" w:asciiTheme="minorEastAsia" w:hAnsiTheme="minorEastAsia" w:cstheme="minorEastAsia"/>
                <w:color w:val="auto"/>
                <w:kern w:val="0"/>
                <w:sz w:val="21"/>
                <w:szCs w:val="21"/>
                <w:highlight w:val="none"/>
                <w:lang w:val="en-US" w:eastAsia="zh-CN" w:bidi="ar"/>
              </w:rPr>
              <w:t>审</w:t>
            </w:r>
            <w:r>
              <w:rPr>
                <w:rFonts w:hint="eastAsia" w:asciiTheme="minorEastAsia" w:hAnsiTheme="minorEastAsia" w:eastAsiaTheme="minorEastAsia" w:cstheme="minorEastAsia"/>
                <w:color w:val="auto"/>
                <w:kern w:val="0"/>
                <w:sz w:val="21"/>
                <w:szCs w:val="21"/>
                <w:highlight w:val="none"/>
                <w:lang w:val="en-US" w:eastAsia="zh-CN" w:bidi="ar"/>
              </w:rPr>
              <w:t>委员会依次按照以下优先顺序推荐</w:t>
            </w:r>
            <w:r>
              <w:rPr>
                <w:rFonts w:hint="eastAsia" w:asciiTheme="minorEastAsia" w:hAnsiTheme="minorEastAsia" w:cstheme="minorEastAsia"/>
                <w:color w:val="auto"/>
                <w:kern w:val="0"/>
                <w:sz w:val="21"/>
                <w:szCs w:val="21"/>
                <w:highlight w:val="none"/>
                <w:lang w:val="en-US" w:eastAsia="zh-CN" w:bidi="ar"/>
              </w:rPr>
              <w:t>成交</w:t>
            </w:r>
            <w:r>
              <w:rPr>
                <w:rFonts w:hint="eastAsia" w:asciiTheme="minorEastAsia" w:hAnsiTheme="minorEastAsia" w:eastAsiaTheme="minorEastAsia" w:cstheme="minorEastAsia"/>
                <w:color w:val="auto"/>
                <w:kern w:val="0"/>
                <w:sz w:val="21"/>
                <w:szCs w:val="21"/>
                <w:highlight w:val="none"/>
                <w:lang w:val="en-US" w:eastAsia="zh-CN" w:bidi="ar"/>
              </w:rPr>
              <w:t xml:space="preserve">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（1）商务及技术文件得分较高的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（2）</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文件提供的业绩数量多的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文件提供的业绩累计合同金额大的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w:t>
                  </w:r>
                  <w:r>
                    <w:rPr>
                      <w:rFonts w:hint="eastAsia" w:asciiTheme="minorEastAsia" w:hAnsiTheme="minorEastAsia" w:cstheme="minorEastAsia"/>
                      <w:color w:val="auto"/>
                      <w:sz w:val="21"/>
                      <w:szCs w:val="21"/>
                      <w:highlight w:val="none"/>
                      <w:vertAlign w:val="baseline"/>
                      <w:lang w:val="en-US" w:eastAsia="zh-CN"/>
                    </w:rPr>
                    <w:t>响应</w:t>
                  </w:r>
                  <w:r>
                    <w:rPr>
                      <w:rFonts w:hint="eastAsia" w:asciiTheme="minorEastAsia" w:hAnsiTheme="minorEastAsia" w:eastAsiaTheme="minorEastAsia" w:cstheme="minorEastAsia"/>
                      <w:color w:val="auto"/>
                      <w:sz w:val="21"/>
                      <w:szCs w:val="21"/>
                      <w:highlight w:val="none"/>
                      <w:vertAlign w:val="baseline"/>
                      <w:lang w:val="en-US" w:eastAsia="zh-CN"/>
                    </w:rPr>
                    <w:t>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说明：如出现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人商务技术文件得分相同的情况，其名次并列为第 B 名，则排名在 A 家</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人之后的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人按照询比文件的规定提供了</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（4）本项目不接受联合体</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w:t>
            </w:r>
            <w:r>
              <w:rPr>
                <w:rFonts w:hint="eastAsia" w:asciiTheme="minorEastAsia" w:hAnsiTheme="minorEastAsia" w:cstheme="minorEastAsia"/>
                <w:b w:val="0"/>
                <w:bCs w:val="0"/>
                <w:color w:val="auto"/>
                <w:kern w:val="0"/>
                <w:sz w:val="21"/>
                <w:szCs w:val="21"/>
                <w:highlight w:val="none"/>
                <w:lang w:val="en-US" w:eastAsia="zh-CN" w:bidi="ar"/>
              </w:rPr>
              <w:t>响应</w:t>
            </w:r>
            <w:r>
              <w:rPr>
                <w:rFonts w:hint="eastAsia" w:asciiTheme="minorEastAsia" w:hAnsiTheme="minorEastAsia" w:eastAsiaTheme="minorEastAsia" w:cstheme="minorEastAsia"/>
                <w:b w:val="0"/>
                <w:bCs w:val="0"/>
                <w:color w:val="auto"/>
                <w:kern w:val="0"/>
                <w:sz w:val="21"/>
                <w:szCs w:val="21"/>
                <w:highlight w:val="none"/>
                <w:lang w:val="en-US" w:eastAsia="zh-CN" w:bidi="ar"/>
              </w:rPr>
              <w:t>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（7）</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（8）</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文件未附有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 xml:space="preserve">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a.按询比文件规定填报了采购人名称、项目名称、补遗书编号（如有）、</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c.工程量清单中的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（3）</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报价未超过询比文件设定的最高</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（4）</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（5）同一</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人未提交两个以上不同的</w:t>
            </w:r>
            <w:r>
              <w:rPr>
                <w:rFonts w:hint="eastAsia" w:asciiTheme="minorEastAsia" w:hAnsiTheme="minorEastAsia" w:cstheme="minorEastAsia"/>
                <w:color w:val="auto"/>
                <w:kern w:val="0"/>
                <w:sz w:val="21"/>
                <w:szCs w:val="21"/>
                <w:highlight w:val="none"/>
                <w:lang w:val="en-US" w:eastAsia="zh-CN" w:bidi="ar"/>
              </w:rPr>
              <w:t>响应</w:t>
            </w:r>
            <w:r>
              <w:rPr>
                <w:rFonts w:hint="eastAsia" w:asciiTheme="minorEastAsia" w:hAnsiTheme="minorEastAsia" w:eastAsiaTheme="minorEastAsia" w:cstheme="minorEastAsia"/>
                <w:color w:val="auto"/>
                <w:kern w:val="0"/>
                <w:sz w:val="21"/>
                <w:szCs w:val="21"/>
                <w:highlight w:val="none"/>
                <w:lang w:val="en-US" w:eastAsia="zh-CN" w:bidi="ar"/>
              </w:rPr>
              <w:t xml:space="preserve">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w:t>
            </w:r>
            <w:r>
              <w:rPr>
                <w:rFonts w:hint="eastAsia" w:asciiTheme="minorEastAsia" w:hAnsiTheme="minorEastAsia" w:cstheme="minorEastAsia"/>
                <w:color w:val="auto"/>
                <w:kern w:val="0"/>
                <w:sz w:val="21"/>
                <w:szCs w:val="21"/>
                <w:highlight w:val="none"/>
                <w:lang w:val="en-US" w:eastAsia="zh-CN" w:bidi="ar"/>
              </w:rPr>
              <w:t>采购</w:t>
            </w:r>
            <w:r>
              <w:rPr>
                <w:rFonts w:hint="eastAsia" w:asciiTheme="minorEastAsia" w:hAnsiTheme="minorEastAsia" w:eastAsiaTheme="minorEastAsia" w:cstheme="minorEastAsia"/>
                <w:color w:val="auto"/>
                <w:kern w:val="0"/>
                <w:sz w:val="21"/>
                <w:szCs w:val="21"/>
                <w:highlight w:val="none"/>
                <w:lang w:val="en-US" w:eastAsia="zh-CN" w:bidi="ar"/>
              </w:rPr>
              <w:t>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（7）放置盖章版的报价文件扫描件（PDF版本）和报价清单电子版(EXCEL版)。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r>
              <w:rPr>
                <w:rFonts w:hint="eastAsia" w:asciiTheme="minorEastAsia" w:hAnsiTheme="minorEastAsia" w:cstheme="minorEastAsia"/>
                <w:color w:val="auto"/>
                <w:kern w:val="0"/>
                <w:sz w:val="21"/>
                <w:szCs w:val="21"/>
                <w:highlight w:val="none"/>
                <w:lang w:val="en-US" w:eastAsia="zh-CN"/>
              </w:rPr>
              <w:t>响应</w:t>
            </w:r>
            <w:r>
              <w:rPr>
                <w:rFonts w:hint="eastAsia" w:asciiTheme="minorEastAsia" w:hAnsiTheme="minorEastAsia" w:eastAsiaTheme="minorEastAsia" w:cstheme="minorEastAsia"/>
                <w:color w:val="auto"/>
                <w:kern w:val="0"/>
                <w:sz w:val="21"/>
                <w:szCs w:val="21"/>
                <w:highlight w:val="none"/>
              </w:rPr>
              <w:t xml:space="preserve">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color w:val="auto"/>
                <w:sz w:val="21"/>
                <w:szCs w:val="24"/>
                <w:highlight w:val="none"/>
              </w:rPr>
            </w:pPr>
            <w:r>
              <w:rPr>
                <w:rFonts w:hint="eastAsia" w:ascii="宋体" w:hAnsi="宋体" w:cs="宋体"/>
                <w:color w:val="auto"/>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kern w:val="0"/>
                <w:sz w:val="22"/>
                <w:szCs w:val="22"/>
                <w:highlight w:val="none"/>
                <w:lang w:bidi="ar"/>
              </w:rPr>
              <w:t>成</w:t>
            </w:r>
            <w:r>
              <w:rPr>
                <w:rFonts w:hint="eastAsia" w:ascii="宋体" w:hAnsi="宋体" w:cs="宋体"/>
                <w:color w:val="auto"/>
                <w:sz w:val="21"/>
                <w:szCs w:val="21"/>
                <w:highlight w:val="none"/>
              </w:rPr>
              <w:t>（总分100分）</w:t>
            </w:r>
          </w:p>
        </w:tc>
        <w:tc>
          <w:tcPr>
            <w:tcW w:w="6287" w:type="dxa"/>
            <w:vAlign w:val="center"/>
          </w:tcPr>
          <w:p w14:paraId="0E3AD3C1">
            <w:pPr>
              <w:keepNext w:val="0"/>
              <w:keepLines w:val="0"/>
              <w:suppressLineNumbers w:val="0"/>
              <w:adjustRightInd w:val="0"/>
              <w:spacing w:before="0" w:beforeLines="0" w:beforeAutospacing="0" w:after="0" w:afterLines="0" w:afterAutospacing="0"/>
              <w:ind w:left="0" w:right="0"/>
              <w:rPr>
                <w:rFonts w:hint="eastAsia" w:ascii="宋体" w:hAnsi="宋体" w:cs="宋体"/>
                <w:b/>
                <w:color w:val="auto"/>
                <w:sz w:val="21"/>
                <w:szCs w:val="21"/>
                <w:highlight w:val="none"/>
              </w:rPr>
            </w:pPr>
            <w:r>
              <w:rPr>
                <w:rFonts w:hint="eastAsia" w:ascii="宋体" w:hAnsi="宋体" w:cs="宋体"/>
                <w:b/>
                <w:color w:val="auto"/>
                <w:sz w:val="21"/>
                <w:szCs w:val="21"/>
                <w:highlight w:val="none"/>
              </w:rPr>
              <w:t>商务及技术文件评分分值构成：</w:t>
            </w:r>
            <w:r>
              <w:rPr>
                <w:rFonts w:hint="eastAsia" w:ascii="宋体" w:hAnsi="宋体" w:cs="宋体"/>
                <w:b/>
                <w:color w:val="auto"/>
                <w:sz w:val="21"/>
                <w:szCs w:val="21"/>
                <w:highlight w:val="none"/>
                <w:u w:val="single"/>
              </w:rPr>
              <w:t xml:space="preserve"> 100 </w:t>
            </w:r>
            <w:r>
              <w:rPr>
                <w:rFonts w:hint="eastAsia" w:ascii="宋体" w:hAnsi="宋体" w:cs="宋体"/>
                <w:b/>
                <w:color w:val="auto"/>
                <w:sz w:val="21"/>
                <w:szCs w:val="21"/>
                <w:highlight w:val="none"/>
              </w:rPr>
              <w:t>分</w:t>
            </w:r>
          </w:p>
          <w:p w14:paraId="1B097027">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40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60207795">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30</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456B2DED">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 xml:space="preserve"> 15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D2A61DB">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15</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65831EA0">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color w:val="auto"/>
                <w:highlight w:val="none"/>
                <w:lang w:val="en-US" w:eastAsia="zh-CN"/>
              </w:rPr>
            </w:pPr>
            <w:r>
              <w:rPr>
                <w:rFonts w:hint="eastAsia" w:ascii="宋体" w:hAnsi="宋体" w:eastAsia="宋体" w:cs="宋体"/>
                <w:color w:val="auto"/>
                <w:kern w:val="0"/>
                <w:sz w:val="21"/>
                <w:szCs w:val="21"/>
                <w:highlight w:val="none"/>
                <w:lang w:val="en-US" w:eastAsia="zh-CN" w:bidi="ar"/>
              </w:rPr>
              <w:t>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（1）本次采购活动将采用技术评分最低价法进行评审，通过商务及技术文件评审得分入选的，根据各家报价由低到高的顺序，依次推荐N名成交候选人。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①如响应人的评审价低于评审价平均值的90%时，采购人可以在评审现场要求该响应人作出情况说明并提供相应降低工程造价的相关证明材料，参照附表 1 异常低价承诺书；同时提供关于合同履行能力及工程质量安全控制能力的承诺（此部分内容的响应人回复时间限时为60分钟，逾期不回复视同响应人放弃澄清、说明或补正内容的权利，采购人可按对响应人不利的解释进行判定。）响应人不能合理说明或者不能提供相应证明材料的，采购人应认定该响应人以低于成本，并否决其响应。</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②异常低价或不平衡报价，采购人有权作废除响应资格处理。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1)针对异常低价承诺书请响应人合理考虑时间，可提前准备好降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低工程造价的相关证明材料，以避免错过要求澄清时间，造成的不良后果由响应人自行承担。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2)以下情形不得作为要求澄清或报价文件中提供异常低价响应说明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响应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成交候选人合同履行能力及工程质量安全等风险进行全面评估，并作为评审结果的附件提交给采购人。响应人在响应文件中不能作出有效澄清、说明或采购人认定（按少数服从多数的原则）其存在履约及质量安全风险的，采购人应否决其响应。</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6"/>
        <w:gridCol w:w="933"/>
        <w:gridCol w:w="1662"/>
        <w:gridCol w:w="5394"/>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937"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041"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937"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40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color w:val="auto"/>
                <w:highlight w:val="none"/>
                <w:u w:val="single"/>
                <w:lang w:val="en-US" w:eastAsia="zh-CN"/>
              </w:rPr>
              <w:t>2022</w:t>
            </w:r>
            <w:r>
              <w:rPr>
                <w:rFonts w:hint="eastAsia"/>
                <w:color w:val="auto"/>
                <w:highlight w:val="none"/>
                <w:lang w:val="en-US" w:eastAsia="zh-CN"/>
              </w:rPr>
              <w:t>年</w:t>
            </w:r>
            <w:r>
              <w:rPr>
                <w:rFonts w:hint="eastAsia"/>
                <w:color w:val="auto"/>
                <w:highlight w:val="none"/>
                <w:u w:val="single"/>
                <w:lang w:val="en-US" w:eastAsia="zh-CN"/>
              </w:rPr>
              <w:t>1</w:t>
            </w:r>
            <w:r>
              <w:rPr>
                <w:rFonts w:hint="eastAsia"/>
                <w:color w:val="auto"/>
                <w:highlight w:val="none"/>
                <w:lang w:val="en-US" w:eastAsia="zh-CN"/>
              </w:rPr>
              <w:t>月</w:t>
            </w:r>
            <w:r>
              <w:rPr>
                <w:rFonts w:hint="eastAsia"/>
                <w:color w:val="auto"/>
                <w:highlight w:val="none"/>
                <w:u w:val="single"/>
                <w:lang w:val="en-US" w:eastAsia="zh-CN"/>
              </w:rPr>
              <w:t>1</w:t>
            </w:r>
            <w:r>
              <w:rPr>
                <w:rFonts w:hint="eastAsia"/>
                <w:color w:val="auto"/>
                <w:highlight w:val="none"/>
                <w:lang w:val="en-US" w:eastAsia="zh-CN"/>
              </w:rPr>
              <w:t>日以来</w:t>
            </w:r>
            <w:r>
              <w:rPr>
                <w:rFonts w:hint="eastAsia" w:ascii="宋体" w:hAnsi="宋体" w:cs="宋体"/>
                <w:color w:val="auto"/>
                <w:sz w:val="21"/>
                <w:szCs w:val="24"/>
                <w:highlight w:val="none"/>
              </w:rPr>
              <w:t>（以合同签订时间为准），除供应商资审条件要求的业绩得</w:t>
            </w:r>
            <w:r>
              <w:rPr>
                <w:rFonts w:hint="eastAsia" w:ascii="宋体" w:hAnsi="宋体" w:cs="宋体"/>
                <w:color w:val="auto"/>
                <w:sz w:val="21"/>
                <w:szCs w:val="24"/>
                <w:highlight w:val="none"/>
                <w:lang w:val="en-US" w:eastAsia="zh-CN"/>
              </w:rPr>
              <w:t>25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200</w:t>
            </w:r>
            <w:r>
              <w:rPr>
                <w:rFonts w:hint="eastAsia" w:ascii="宋体" w:hAnsi="宋体" w:cs="宋体"/>
                <w:color w:val="auto"/>
                <w:sz w:val="21"/>
                <w:szCs w:val="24"/>
                <w:highlight w:val="none"/>
              </w:rPr>
              <w:t>万及以上的不锈钢或隔断、艺术玻璃合同业绩，每多提供一个业绩得5分，满分</w:t>
            </w:r>
            <w:r>
              <w:rPr>
                <w:rFonts w:hint="eastAsia" w:ascii="宋体" w:hAnsi="宋体" w:cs="宋体"/>
                <w:color w:val="auto"/>
                <w:sz w:val="21"/>
                <w:szCs w:val="24"/>
                <w:highlight w:val="none"/>
                <w:lang w:val="en-US" w:eastAsia="zh-CN"/>
              </w:rPr>
              <w:t>40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响应人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none"/>
                <w:lang w:val="en-US" w:eastAsia="zh-CN"/>
              </w:rPr>
              <w:t>每个业绩至少提供不低于合同金额50%的增值税发票（或提供不低于资格审查要求业绩金额的增值税发票），未提供或提供发票金额不足的，该业绩无效。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937"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041"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产品生产厂家企业实力</w:t>
            </w:r>
            <w:r>
              <w:rPr>
                <w:rFonts w:hint="eastAsia" w:ascii="宋体" w:hAnsi="宋体" w:eastAsia="宋体" w:cs="宋体"/>
                <w:color w:val="auto"/>
                <w:kern w:val="0"/>
                <w:sz w:val="21"/>
                <w:szCs w:val="21"/>
                <w:highlight w:val="none"/>
                <w:lang w:bidi="ar"/>
              </w:rPr>
              <w:t>：</w:t>
            </w:r>
          </w:p>
          <w:p w14:paraId="26E6238E">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0607DF6F">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2ECBBA5C">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w:t>
            </w:r>
            <w:r>
              <w:rPr>
                <w:rFonts w:hint="eastAsia" w:ascii="宋体" w:hAnsi="宋体" w:eastAsia="宋体" w:cs="宋体"/>
                <w:color w:val="auto"/>
                <w:kern w:val="0"/>
                <w:sz w:val="21"/>
                <w:szCs w:val="21"/>
                <w:highlight w:val="none"/>
                <w:lang w:val="en-US" w:eastAsia="zh-CN" w:bidi="ar"/>
              </w:rPr>
              <w:t>10-7</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5BA79F9B">
            <w:pPr>
              <w:pStyle w:val="7"/>
              <w:keepNext w:val="0"/>
              <w:keepLines w:val="0"/>
              <w:suppressLineNumbers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注：经销商/代理商参与的需要提供产品生产厂家授权文件。</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w:t>
            </w:r>
            <w:r>
              <w:rPr>
                <w:rFonts w:hint="eastAsia" w:ascii="宋体" w:hAnsi="宋体" w:eastAsia="宋体" w:cs="宋体"/>
                <w:b/>
                <w:color w:val="auto"/>
                <w:kern w:val="0"/>
                <w:sz w:val="21"/>
                <w:szCs w:val="21"/>
                <w:highlight w:val="none"/>
                <w:lang w:val="en-US" w:eastAsia="zh-CN" w:bidi="ar"/>
              </w:rPr>
              <w:t>成交</w:t>
            </w:r>
            <w:r>
              <w:rPr>
                <w:rFonts w:hint="eastAsia" w:ascii="宋体" w:hAnsi="宋体" w:eastAsia="宋体" w:cs="宋体"/>
                <w:b/>
                <w:color w:val="auto"/>
                <w:kern w:val="0"/>
                <w:sz w:val="21"/>
                <w:szCs w:val="21"/>
                <w:highlight w:val="none"/>
                <w:lang w:bidi="ar"/>
              </w:rPr>
              <w:t>资格，已签合同的可随时解除合同）</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31C25686">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供货方案</w:t>
            </w:r>
          </w:p>
          <w:p w14:paraId="07C7A20F">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5393" w:type="dxa"/>
            <w:shd w:val="clear" w:color="auto" w:fill="auto"/>
            <w:vAlign w:val="center"/>
          </w:tcPr>
          <w:p w14:paraId="0C475E43">
            <w:pPr>
              <w:pStyle w:val="8"/>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Lines="0" w:afterAutospacing="0"/>
              <w:ind w:left="0" w:leftChars="0" w:right="0" w:rightChars="0" w:firstLine="420" w:firstLineChars="200"/>
              <w:jc w:val="left"/>
              <w:textAlignment w:val="auto"/>
              <w:rPr>
                <w:rFonts w:hint="eastAsia"/>
                <w:color w:val="auto"/>
                <w:highlight w:val="none"/>
                <w:lang w:val="en-US" w:eastAsia="zh-CN"/>
              </w:rPr>
            </w:pPr>
            <w:r>
              <w:rPr>
                <w:rFonts w:hint="eastAsia" w:ascii="宋体" w:hAnsi="宋体" w:cs="宋体"/>
                <w:color w:val="auto"/>
                <w:sz w:val="21"/>
                <w:szCs w:val="21"/>
                <w:highlight w:val="none"/>
                <w:lang w:val="en-US" w:eastAsia="zh-CN" w:bidi="ar"/>
              </w:rPr>
              <w:t>供货方案合理,对项目关键技术主要施工艺有深入的表述,对重点、难点问题有合理化建议解决方案完整、经济、安全、切实可行,措施得力，评委综合评分，优秀的得15-10分；一般的得9-4分，较差得基础分3分，未提供不得分</w:t>
            </w:r>
            <w:r>
              <w:rPr>
                <w:rFonts w:hint="eastAsia" w:ascii="宋体" w:hAnsi="宋体" w:cs="宋体"/>
                <w:color w:val="auto"/>
                <w:sz w:val="21"/>
                <w:szCs w:val="24"/>
                <w:highlight w:val="none"/>
                <w:lang w:val="en-US" w:eastAsia="zh-CN"/>
              </w:rPr>
              <w:t>。</w:t>
            </w:r>
            <w:r>
              <w:rPr>
                <w:rFonts w:hint="eastAsia" w:ascii="宋体" w:hAnsi="宋体" w:cs="宋体"/>
                <w:color w:val="auto"/>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1662" w:type="dxa"/>
            <w:shd w:val="clear" w:color="auto" w:fill="auto"/>
            <w:vAlign w:val="center"/>
          </w:tcPr>
          <w:p w14:paraId="17E770CF">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售后服务方案</w:t>
            </w:r>
          </w:p>
          <w:p w14:paraId="509CC078">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满分</w:t>
            </w:r>
            <w:r>
              <w:rPr>
                <w:rFonts w:hint="eastAsia" w:ascii="宋体" w:hAnsi="宋体" w:cs="宋体"/>
                <w:color w:val="auto"/>
                <w:sz w:val="21"/>
                <w:szCs w:val="21"/>
                <w:highlight w:val="none"/>
                <w:u w:val="single"/>
                <w:lang w:val="en-US" w:eastAsia="zh-CN"/>
              </w:rPr>
              <w:t xml:space="preserve"> 15 </w:t>
            </w:r>
            <w:r>
              <w:rPr>
                <w:rFonts w:hint="eastAsia" w:ascii="宋体" w:hAnsi="宋体" w:cs="宋体"/>
                <w:color w:val="auto"/>
                <w:sz w:val="21"/>
                <w:szCs w:val="21"/>
                <w:highlight w:val="none"/>
                <w:lang w:val="en-US" w:eastAsia="zh-CN"/>
              </w:rPr>
              <w:t>分</w:t>
            </w:r>
            <w:r>
              <w:rPr>
                <w:rFonts w:hint="eastAsia" w:ascii="宋体" w:hAnsi="宋体" w:cs="宋体"/>
                <w:color w:val="auto"/>
                <w:sz w:val="21"/>
                <w:szCs w:val="21"/>
                <w:highlight w:val="none"/>
                <w:lang w:eastAsia="zh-CN"/>
              </w:rPr>
              <w:t>）</w:t>
            </w:r>
          </w:p>
        </w:tc>
        <w:tc>
          <w:tcPr>
            <w:tcW w:w="5393" w:type="dxa"/>
            <w:shd w:val="clear" w:color="auto" w:fill="auto"/>
            <w:vAlign w:val="center"/>
          </w:tcPr>
          <w:p w14:paraId="3686DE7B">
            <w:pPr>
              <w:pStyle w:val="9"/>
              <w:keepNext w:val="0"/>
              <w:keepLines w:val="0"/>
              <w:pageBreakBefore w:val="0"/>
              <w:widowControl w:val="0"/>
              <w:suppressLineNumbers w:val="0"/>
              <w:kinsoku/>
              <w:wordWrap/>
              <w:overflowPunct/>
              <w:topLinePunct w:val="0"/>
              <w:autoSpaceDE/>
              <w:autoSpaceDN/>
              <w:bidi w:val="0"/>
              <w:adjustRightInd/>
              <w:spacing w:before="0" w:beforeAutospacing="0" w:after="0" w:afterAutospacing="0"/>
              <w:ind w:left="0" w:leftChars="0" w:right="0" w:rightChars="0" w:firstLine="420" w:firstLineChars="200"/>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根据响应人售后服务方案及增值服务进行综合评审。评委综合评分，</w:t>
            </w:r>
            <w:r>
              <w:rPr>
                <w:rFonts w:hint="eastAsia" w:ascii="宋体" w:hAnsi="宋体" w:cs="宋体"/>
                <w:color w:val="auto"/>
                <w:sz w:val="21"/>
                <w:szCs w:val="21"/>
                <w:highlight w:val="none"/>
                <w:lang w:val="en-US" w:eastAsia="zh-CN" w:bidi="ar"/>
              </w:rPr>
              <w:t>优秀的得15-10分；一般的得9-4分，较差得基础分3分，未提供不得分</w:t>
            </w:r>
            <w:r>
              <w:rPr>
                <w:rFonts w:hint="eastAsia" w:ascii="宋体" w:hAnsi="宋体" w:cs="宋体"/>
                <w:color w:val="auto"/>
                <w:sz w:val="21"/>
                <w:szCs w:val="24"/>
                <w:highlight w:val="none"/>
                <w:lang w:val="en-US" w:eastAsia="zh-CN"/>
              </w:rPr>
              <w:t>。</w:t>
            </w:r>
          </w:p>
        </w:tc>
      </w:tr>
    </w:tbl>
    <w:p w14:paraId="362416C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94BD1A">
      <w:pPr>
        <w:widowControl/>
        <w:spacing w:beforeLines="0" w:afterLines="0"/>
        <w:jc w:val="left"/>
        <w:rPr>
          <w:rFonts w:hint="default"/>
          <w:sz w:val="21"/>
          <w:szCs w:val="24"/>
          <w:highlight w:val="none"/>
        </w:rPr>
      </w:pPr>
      <w:r>
        <w:rPr>
          <w:rFonts w:hint="eastAsia" w:ascii="黑体" w:hAnsi="黑体" w:eastAsia="黑体" w:cs="黑体"/>
          <w:b/>
          <w:color w:val="000000"/>
          <w:kern w:val="0"/>
          <w:sz w:val="28"/>
          <w:szCs w:val="28"/>
          <w:highlight w:val="none"/>
          <w:lang w:bidi="ar"/>
        </w:rPr>
        <w:t>附表 1：</w:t>
      </w:r>
      <w:r>
        <w:rPr>
          <w:rFonts w:hint="eastAsia" w:ascii="宋体" w:hAnsi="宋体" w:cs="宋体"/>
          <w:b/>
          <w:color w:val="000000"/>
          <w:kern w:val="0"/>
          <w:sz w:val="22"/>
          <w:szCs w:val="22"/>
          <w:highlight w:val="none"/>
          <w:lang w:bidi="ar"/>
        </w:rPr>
        <w:t xml:space="preserve"> </w:t>
      </w:r>
    </w:p>
    <w:p w14:paraId="5D7D4303">
      <w:pPr>
        <w:widowControl/>
        <w:spacing w:beforeLines="0" w:afterLines="0"/>
        <w:jc w:val="center"/>
        <w:rPr>
          <w:rFonts w:hint="eastAsia" w:ascii="宋体" w:hAnsi="宋体" w:cs="宋体"/>
          <w:color w:val="000000"/>
          <w:kern w:val="0"/>
          <w:sz w:val="30"/>
          <w:szCs w:val="30"/>
          <w:highlight w:val="none"/>
          <w:lang w:bidi="ar"/>
        </w:rPr>
      </w:pPr>
      <w:r>
        <w:rPr>
          <w:rFonts w:hint="eastAsia" w:ascii="宋体" w:hAnsi="宋体" w:cs="宋体"/>
          <w:color w:val="000000"/>
          <w:kern w:val="0"/>
          <w:sz w:val="30"/>
          <w:szCs w:val="30"/>
          <w:highlight w:val="none"/>
          <w:lang w:bidi="ar"/>
        </w:rPr>
        <w:t>异常低价承诺书</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7"/>
        <w:gridCol w:w="5775"/>
      </w:tblGrid>
      <w:tr w14:paraId="08A8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E156B">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项目名称</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7DEBC3BF">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753B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6041A9">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项目报价（元）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566C94B6">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6632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8B7B1">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项目限价（元）</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100A811D">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1002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15868">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降低工程造价的说明</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top"/>
          </w:tcPr>
          <w:p w14:paraId="4C562D85">
            <w:pPr>
              <w:pStyle w:val="8"/>
              <w:keepNext w:val="0"/>
              <w:keepLines w:val="0"/>
              <w:suppressLineNumbers w:val="0"/>
              <w:spacing w:before="0" w:beforeLines="0" w:beforeAutospacing="0" w:afterLines="0" w:afterAutospacing="0"/>
              <w:ind w:left="0" w:right="0"/>
              <w:rPr>
                <w:rFonts w:hint="default"/>
                <w:sz w:val="21"/>
                <w:szCs w:val="24"/>
                <w:highlight w:val="none"/>
              </w:rPr>
            </w:pPr>
          </w:p>
        </w:tc>
      </w:tr>
      <w:tr w14:paraId="4BBD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8" w:hRule="atLeast"/>
        </w:trPr>
        <w:tc>
          <w:tcPr>
            <w:tcW w:w="27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61823D">
            <w:pPr>
              <w:keepNext w:val="0"/>
              <w:keepLines w:val="0"/>
              <w:widowControl/>
              <w:suppressLineNumbers w:val="0"/>
              <w:spacing w:before="0" w:beforeLines="0" w:beforeAutospacing="0" w:after="0" w:afterLines="0" w:afterAutospacing="0"/>
              <w:ind w:left="0" w:right="0"/>
              <w:jc w:val="center"/>
              <w:rPr>
                <w:rFonts w:hint="default"/>
                <w:sz w:val="21"/>
                <w:szCs w:val="24"/>
                <w:highlight w:val="none"/>
              </w:rPr>
            </w:pPr>
            <w:r>
              <w:rPr>
                <w:rFonts w:hint="eastAsia" w:ascii="宋体" w:hAnsi="宋体" w:cs="宋体"/>
                <w:color w:val="000000"/>
                <w:kern w:val="0"/>
                <w:sz w:val="22"/>
                <w:szCs w:val="22"/>
                <w:highlight w:val="none"/>
                <w:lang w:bidi="ar"/>
              </w:rPr>
              <w:t>承诺</w:t>
            </w:r>
          </w:p>
        </w:tc>
        <w:tc>
          <w:tcPr>
            <w:tcW w:w="57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FB0C7">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1.</w:t>
            </w:r>
            <w:r>
              <w:rPr>
                <w:rFonts w:hint="eastAsia" w:ascii="宋体" w:hAnsi="宋体" w:cs="宋体"/>
                <w:color w:val="000000"/>
                <w:kern w:val="0"/>
                <w:sz w:val="22"/>
                <w:szCs w:val="22"/>
                <w:highlight w:val="none"/>
                <w:lang w:bidi="ar"/>
              </w:rPr>
              <w:t>我公司承诺本表提供的内容及相关资料均属实；</w:t>
            </w:r>
          </w:p>
          <w:p w14:paraId="15B08D22">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2.</w:t>
            </w:r>
            <w:r>
              <w:rPr>
                <w:rFonts w:hint="eastAsia" w:ascii="宋体" w:hAnsi="宋体" w:cs="宋体"/>
                <w:color w:val="000000"/>
                <w:kern w:val="0"/>
                <w:sz w:val="22"/>
                <w:szCs w:val="22"/>
                <w:highlight w:val="none"/>
                <w:lang w:bidi="ar"/>
              </w:rPr>
              <w:t>我公司承诺没有</w:t>
            </w:r>
            <w:r>
              <w:rPr>
                <w:rFonts w:hint="eastAsia" w:ascii="宋体" w:hAnsi="宋体" w:cs="宋体"/>
                <w:color w:val="000000"/>
                <w:kern w:val="0"/>
                <w:sz w:val="22"/>
                <w:szCs w:val="22"/>
                <w:highlight w:val="none"/>
                <w:lang w:val="en-US" w:eastAsia="zh-CN" w:bidi="ar"/>
              </w:rPr>
              <w:t>采购</w:t>
            </w:r>
            <w:r>
              <w:rPr>
                <w:rFonts w:hint="eastAsia" w:ascii="宋体" w:hAnsi="宋体" w:cs="宋体"/>
                <w:color w:val="000000"/>
                <w:kern w:val="0"/>
                <w:sz w:val="22"/>
                <w:szCs w:val="22"/>
                <w:highlight w:val="none"/>
                <w:lang w:bidi="ar"/>
              </w:rPr>
              <w:t>文件约定的降低</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报价的禁止情形；</w:t>
            </w:r>
          </w:p>
          <w:p w14:paraId="627073BA">
            <w:pPr>
              <w:keepNext w:val="0"/>
              <w:keepLines w:val="0"/>
              <w:widowControl/>
              <w:suppressLineNumbers w:val="0"/>
              <w:spacing w:before="0" w:beforeLines="0" w:beforeAutospacing="0" w:after="0" w:afterLines="0" w:afterAutospacing="0"/>
              <w:ind w:left="0" w:right="0"/>
              <w:rPr>
                <w:rFonts w:hint="default"/>
                <w:sz w:val="21"/>
                <w:szCs w:val="24"/>
                <w:highlight w:val="none"/>
              </w:rPr>
            </w:pPr>
            <w:r>
              <w:rPr>
                <w:rFonts w:hint="eastAsia" w:ascii="Times New Roman" w:hAnsi="Times New Roman" w:eastAsia="Times New Roman"/>
                <w:color w:val="000000"/>
                <w:kern w:val="0"/>
                <w:sz w:val="22"/>
                <w:szCs w:val="22"/>
                <w:highlight w:val="none"/>
                <w:lang w:bidi="ar"/>
              </w:rPr>
              <w:t>3.</w:t>
            </w:r>
            <w:r>
              <w:rPr>
                <w:rFonts w:hint="eastAsia" w:ascii="宋体" w:hAnsi="宋体" w:cs="宋体"/>
                <w:color w:val="000000"/>
                <w:kern w:val="0"/>
                <w:sz w:val="22"/>
                <w:szCs w:val="22"/>
                <w:highlight w:val="none"/>
                <w:lang w:bidi="ar"/>
              </w:rPr>
              <w:t>我公司承诺具备合同履行能力及工程质量安全控制能力。</w:t>
            </w:r>
          </w:p>
        </w:tc>
      </w:tr>
    </w:tbl>
    <w:p w14:paraId="3965A144">
      <w:pPr>
        <w:pStyle w:val="8"/>
        <w:spacing w:beforeLines="0" w:afterLines="0"/>
        <w:rPr>
          <w:rFonts w:hint="default"/>
          <w:sz w:val="21"/>
          <w:szCs w:val="24"/>
          <w:highlight w:val="none"/>
        </w:rPr>
      </w:pPr>
    </w:p>
    <w:p w14:paraId="758D9198">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注： </w:t>
      </w:r>
    </w:p>
    <w:p w14:paraId="03F0CA60">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 xml:space="preserve">1.此表格后附异常低价评审的相关证明材料； </w:t>
      </w:r>
    </w:p>
    <w:p w14:paraId="786F1069">
      <w:pPr>
        <w:widowControl/>
        <w:spacing w:beforeLines="0" w:afterLines="0"/>
        <w:jc w:val="left"/>
        <w:rPr>
          <w:rFonts w:hint="eastAsia" w:ascii="宋体" w:hAnsi="宋体" w:cs="宋体"/>
          <w:sz w:val="21"/>
          <w:szCs w:val="24"/>
          <w:highlight w:val="none"/>
        </w:rPr>
      </w:pPr>
      <w:r>
        <w:rPr>
          <w:rFonts w:hint="eastAsia" w:ascii="宋体" w:hAnsi="宋体" w:cs="宋体"/>
          <w:color w:val="000000"/>
          <w:kern w:val="0"/>
          <w:sz w:val="22"/>
          <w:szCs w:val="22"/>
          <w:highlight w:val="none"/>
          <w:lang w:bidi="ar"/>
        </w:rPr>
        <w:t>2.</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人在制作</w:t>
      </w:r>
      <w:r>
        <w:rPr>
          <w:rFonts w:hint="eastAsia" w:ascii="宋体" w:hAnsi="宋体" w:cs="宋体"/>
          <w:color w:val="000000"/>
          <w:kern w:val="0"/>
          <w:sz w:val="22"/>
          <w:szCs w:val="22"/>
          <w:highlight w:val="none"/>
          <w:lang w:val="en-US" w:eastAsia="zh-CN" w:bidi="ar"/>
        </w:rPr>
        <w:t>响应</w:t>
      </w:r>
      <w:r>
        <w:rPr>
          <w:rFonts w:hint="eastAsia" w:ascii="宋体" w:hAnsi="宋体" w:cs="宋体"/>
          <w:color w:val="000000"/>
          <w:kern w:val="0"/>
          <w:sz w:val="22"/>
          <w:szCs w:val="22"/>
          <w:highlight w:val="none"/>
          <w:lang w:bidi="ar"/>
        </w:rPr>
        <w:t>文件时该页可放置在报价文件-其他的资料中，或在评</w:t>
      </w:r>
      <w:r>
        <w:rPr>
          <w:rFonts w:hint="eastAsia" w:ascii="宋体" w:hAnsi="宋体" w:cs="宋体"/>
          <w:color w:val="000000"/>
          <w:kern w:val="0"/>
          <w:sz w:val="22"/>
          <w:szCs w:val="22"/>
          <w:highlight w:val="none"/>
          <w:lang w:val="en-US" w:eastAsia="zh-CN" w:bidi="ar"/>
        </w:rPr>
        <w:t>审</w:t>
      </w:r>
      <w:r>
        <w:rPr>
          <w:rFonts w:hint="eastAsia" w:ascii="宋体" w:hAnsi="宋体" w:cs="宋体"/>
          <w:color w:val="000000"/>
          <w:kern w:val="0"/>
          <w:sz w:val="22"/>
          <w:szCs w:val="22"/>
          <w:highlight w:val="none"/>
          <w:lang w:bidi="ar"/>
        </w:rPr>
        <w:t>委员会发询标函时作为附件提供。</w:t>
      </w:r>
    </w:p>
    <w:p w14:paraId="40D63950">
      <w:pPr>
        <w:jc w:val="left"/>
        <w:rPr>
          <w:rFonts w:hint="default" w:ascii="Times New Roman" w:hAnsi="Times New Roman" w:eastAsia="Times New Roman"/>
          <w:color w:val="auto"/>
          <w:sz w:val="24"/>
          <w:szCs w:val="32"/>
          <w:highlight w:val="none"/>
        </w:rPr>
      </w:pPr>
    </w:p>
    <w:p w14:paraId="0690D047">
      <w:pPr>
        <w:jc w:val="left"/>
        <w:rPr>
          <w:rFonts w:hint="default" w:ascii="Times New Roman" w:hAnsi="Times New Roman" w:eastAsia="Times New Roman"/>
          <w:color w:val="auto"/>
          <w:sz w:val="24"/>
          <w:szCs w:val="32"/>
          <w:highlight w:val="none"/>
        </w:rPr>
      </w:pPr>
    </w:p>
    <w:p w14:paraId="5CFA9443">
      <w:pPr>
        <w:jc w:val="left"/>
        <w:rPr>
          <w:rFonts w:hint="default" w:ascii="Times New Roman" w:hAnsi="Times New Roman" w:eastAsia="Times New Roman"/>
          <w:color w:val="auto"/>
          <w:sz w:val="24"/>
          <w:szCs w:val="32"/>
          <w:highlight w:val="none"/>
        </w:rPr>
      </w:pPr>
    </w:p>
    <w:p w14:paraId="32B8036A">
      <w:pPr>
        <w:jc w:val="left"/>
        <w:rPr>
          <w:rFonts w:hint="default" w:ascii="Times New Roman" w:hAnsi="Times New Roman" w:eastAsia="Times New Roman"/>
          <w:color w:val="auto"/>
          <w:sz w:val="24"/>
          <w:szCs w:val="32"/>
          <w:highlight w:val="none"/>
        </w:rPr>
      </w:pPr>
    </w:p>
    <w:p w14:paraId="6F73D9EC">
      <w:pPr>
        <w:jc w:val="left"/>
        <w:rPr>
          <w:rFonts w:hint="default" w:ascii="Times New Roman" w:hAnsi="Times New Roman" w:eastAsia="Times New Roman"/>
          <w:color w:val="auto"/>
          <w:sz w:val="24"/>
          <w:szCs w:val="32"/>
          <w:highlight w:val="none"/>
        </w:rPr>
      </w:pPr>
    </w:p>
    <w:p w14:paraId="24264EE3">
      <w:pPr>
        <w:jc w:val="left"/>
        <w:rPr>
          <w:rFonts w:hint="default" w:ascii="Times New Roman" w:hAnsi="Times New Roman" w:eastAsia="Times New Roman"/>
          <w:color w:val="auto"/>
          <w:sz w:val="24"/>
          <w:szCs w:val="32"/>
          <w:highlight w:val="none"/>
        </w:rPr>
      </w:pPr>
    </w:p>
    <w:p w14:paraId="0481679D">
      <w:pPr>
        <w:jc w:val="left"/>
        <w:rPr>
          <w:rFonts w:hint="default" w:ascii="Times New Roman" w:hAnsi="Times New Roman" w:eastAsia="Times New Roman"/>
          <w:color w:val="auto"/>
          <w:sz w:val="24"/>
          <w:szCs w:val="32"/>
          <w:highlight w:val="none"/>
        </w:rPr>
      </w:pPr>
    </w:p>
    <w:p w14:paraId="048D8F64">
      <w:pPr>
        <w:jc w:val="left"/>
        <w:rPr>
          <w:rFonts w:hint="default" w:ascii="Times New Roman" w:hAnsi="Times New Roman" w:eastAsia="Times New Roman"/>
          <w:color w:val="auto"/>
          <w:sz w:val="24"/>
          <w:szCs w:val="32"/>
          <w:highlight w:val="none"/>
        </w:rPr>
      </w:pPr>
    </w:p>
    <w:p w14:paraId="547C56AB">
      <w:pPr>
        <w:jc w:val="left"/>
        <w:rPr>
          <w:rFonts w:hint="default" w:ascii="Times New Roman" w:hAnsi="Times New Roman" w:eastAsia="Times New Roman"/>
          <w:color w:val="auto"/>
          <w:sz w:val="24"/>
          <w:szCs w:val="32"/>
          <w:highlight w:val="none"/>
        </w:rPr>
      </w:pPr>
    </w:p>
    <w:p w14:paraId="00CE888E">
      <w:pPr>
        <w:jc w:val="left"/>
        <w:rPr>
          <w:rFonts w:hint="default" w:ascii="Times New Roman" w:hAnsi="Times New Roman" w:eastAsia="Times New Roman"/>
          <w:color w:val="auto"/>
          <w:sz w:val="24"/>
          <w:szCs w:val="32"/>
          <w:highlight w:val="none"/>
        </w:r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人的商务及技术文件进行评分，按得分由高到低排序确定前N名。对排名前N名的</w:t>
      </w:r>
      <w:r>
        <w:rPr>
          <w:rFonts w:hint="eastAsia" w:ascii="Times New Roman" w:hAnsi="Times New Roman"/>
          <w:color w:val="auto"/>
          <w:sz w:val="21"/>
          <w:szCs w:val="24"/>
          <w:highlight w:val="none"/>
          <w:lang w:val="en-US" w:eastAsia="zh-CN"/>
        </w:rPr>
        <w:t>响应</w:t>
      </w:r>
      <w:r>
        <w:rPr>
          <w:rFonts w:hint="eastAsia" w:ascii="Times New Roman" w:hAnsi="Times New Roman"/>
          <w:color w:val="auto"/>
          <w:sz w:val="21"/>
          <w:szCs w:val="24"/>
          <w:highlight w:val="none"/>
        </w:rPr>
        <w:t>人的报价文件进行评审，按照评</w:t>
      </w:r>
      <w:r>
        <w:rPr>
          <w:rFonts w:hint="eastAsia" w:ascii="Times New Roman" w:hAnsi="Times New Roman"/>
          <w:color w:val="auto"/>
          <w:sz w:val="21"/>
          <w:szCs w:val="24"/>
          <w:highlight w:val="none"/>
          <w:lang w:val="en-US" w:eastAsia="zh-CN"/>
        </w:rPr>
        <w:t>审</w:t>
      </w:r>
      <w:r>
        <w:rPr>
          <w:rFonts w:hint="eastAsia" w:ascii="Times New Roman" w:hAnsi="Times New Roman"/>
          <w:color w:val="auto"/>
          <w:sz w:val="21"/>
          <w:szCs w:val="24"/>
          <w:highlight w:val="none"/>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color w:val="auto"/>
          <w:sz w:val="21"/>
          <w:szCs w:val="24"/>
          <w:highlight w:val="none"/>
        </w:rPr>
        <w:t>候选人。</w:t>
      </w:r>
    </w:p>
    <w:p w14:paraId="21C01D69">
      <w:pPr>
        <w:spacing w:line="440" w:lineRule="exact"/>
        <w:ind w:firstLine="420"/>
        <w:rPr>
          <w:rFonts w:hint="eastAsia" w:ascii="Times New Roman" w:hAnsi="Times New Roman" w:eastAsiaTheme="minorEastAsia"/>
          <w:color w:val="auto"/>
          <w:sz w:val="21"/>
          <w:szCs w:val="24"/>
          <w:highlight w:val="none"/>
          <w:lang w:eastAsia="zh-CN"/>
        </w:rPr>
      </w:pPr>
      <w:r>
        <w:rPr>
          <w:rFonts w:hint="eastAsia" w:ascii="Times New Roman" w:hAnsi="Times New Roman" w:eastAsiaTheme="minorEastAsia"/>
          <w:color w:val="auto"/>
          <w:sz w:val="21"/>
          <w:szCs w:val="24"/>
          <w:highlight w:val="none"/>
          <w:lang w:eastAsia="zh-CN"/>
        </w:rPr>
        <w:t>1.2若参与本项目询比且通过形式评审、响应性评审与资格评审的供应商只有3家，则3家无需进行商务技术文件评审，直接开启第二信封报价文件，按照评</w:t>
      </w:r>
      <w:r>
        <w:rPr>
          <w:rFonts w:hint="eastAsia" w:ascii="Times New Roman" w:hAnsi="Times New Roman"/>
          <w:color w:val="auto"/>
          <w:sz w:val="21"/>
          <w:szCs w:val="24"/>
          <w:highlight w:val="none"/>
          <w:lang w:val="en-US" w:eastAsia="zh-CN"/>
        </w:rPr>
        <w:t>审</w:t>
      </w:r>
      <w:r>
        <w:rPr>
          <w:rFonts w:hint="eastAsia" w:ascii="Times New Roman" w:hAnsi="Times New Roman" w:eastAsiaTheme="minorEastAsia"/>
          <w:color w:val="auto"/>
          <w:sz w:val="21"/>
          <w:szCs w:val="24"/>
          <w:highlight w:val="none"/>
          <w:lang w:eastAsia="zh-CN"/>
        </w:rPr>
        <w:t>价由低到高的顺序推荐3名</w:t>
      </w:r>
      <w:r>
        <w:rPr>
          <w:rFonts w:hint="eastAsia" w:ascii="Times New Roman" w:hAnsi="Times New Roman"/>
          <w:color w:val="auto"/>
          <w:sz w:val="21"/>
          <w:szCs w:val="24"/>
          <w:highlight w:val="none"/>
          <w:lang w:val="en-US" w:eastAsia="zh-CN"/>
        </w:rPr>
        <w:t>成交</w:t>
      </w:r>
      <w:r>
        <w:rPr>
          <w:rFonts w:hint="eastAsia" w:ascii="Times New Roman" w:hAnsi="Times New Roman" w:eastAsiaTheme="minorEastAsia"/>
          <w:color w:val="auto"/>
          <w:sz w:val="21"/>
          <w:szCs w:val="24"/>
          <w:highlight w:val="none"/>
          <w:lang w:eastAsia="zh-CN"/>
        </w:rPr>
        <w:t>候选人。</w:t>
      </w:r>
    </w:p>
    <w:p w14:paraId="251CEB30">
      <w:pPr>
        <w:spacing w:line="440" w:lineRule="exact"/>
        <w:ind w:firstLine="420"/>
        <w:rPr>
          <w:rFonts w:hint="eastAsia" w:ascii="Times New Roman" w:hAnsi="Times New Roman" w:eastAsiaTheme="minorEastAsia"/>
          <w:b/>
          <w:bCs/>
          <w:color w:val="auto"/>
          <w:sz w:val="21"/>
          <w:szCs w:val="24"/>
          <w:highlight w:val="none"/>
          <w:lang w:val="en-US" w:eastAsia="zh-CN"/>
        </w:rPr>
      </w:pPr>
      <w:r>
        <w:rPr>
          <w:rFonts w:hint="eastAsia" w:ascii="Times New Roman" w:hAnsi="Times New Roman"/>
          <w:b/>
          <w:bCs/>
          <w:color w:val="auto"/>
          <w:sz w:val="21"/>
          <w:szCs w:val="24"/>
          <w:highlight w:val="none"/>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1、响应登记表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3、报价记录表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289728B">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14908"/>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15C6D45E">
      <w:pPr>
        <w:rPr>
          <w:rFonts w:hint="eastAsia" w:ascii="方正小标宋简体" w:hAnsi="方正小标宋简体" w:eastAsia="方正小标宋简体" w:cs="方正小标宋简体"/>
          <w:bCs/>
          <w:color w:val="auto"/>
          <w:sz w:val="44"/>
          <w:szCs w:val="44"/>
          <w:highlight w:val="none"/>
          <w:lang w:eastAsia="zh-CN"/>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r>
        <w:rPr>
          <w:rFonts w:hint="eastAsia" w:ascii="方正小标宋简体" w:hAnsi="方正小标宋简体" w:eastAsia="方正小标宋简体" w:cs="方正小标宋简体"/>
          <w:bCs/>
          <w:color w:val="auto"/>
          <w:sz w:val="44"/>
          <w:szCs w:val="44"/>
          <w:highlight w:val="none"/>
          <w:lang w:eastAsia="zh-CN"/>
        </w:rPr>
        <w:br w:type="page"/>
      </w:r>
    </w:p>
    <w:p w14:paraId="63DAC813">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permEnd w:id="0"/>
      <w:r>
        <w:rPr>
          <w:rFonts w:hint="eastAsia" w:ascii="方正小标宋简体" w:hAnsi="方正小标宋简体" w:eastAsia="方正小标宋简体" w:cs="方正小标宋简体"/>
          <w:bCs/>
          <w:color w:val="auto"/>
          <w:sz w:val="44"/>
          <w:szCs w:val="44"/>
          <w:highlight w:val="none"/>
          <w:u w:val="none"/>
          <w:lang w:val="en-US" w:eastAsia="zh-CN"/>
        </w:rPr>
        <w:t>采购</w:t>
      </w:r>
      <w:r>
        <w:rPr>
          <w:rFonts w:hint="eastAsia" w:ascii="方正小标宋简体" w:hAnsi="方正小标宋简体" w:eastAsia="方正小标宋简体" w:cs="方正小标宋简体"/>
          <w:bCs/>
          <w:color w:val="auto"/>
          <w:sz w:val="44"/>
          <w:szCs w:val="44"/>
          <w:highlight w:val="none"/>
          <w:lang w:val="en-US" w:eastAsia="zh-CN"/>
        </w:rPr>
        <w:t>及安装</w:t>
      </w:r>
      <w:r>
        <w:rPr>
          <w:rFonts w:hint="eastAsia" w:ascii="方正小标宋简体" w:hAnsi="方正小标宋简体" w:eastAsia="方正小标宋简体" w:cs="方正小标宋简体"/>
          <w:bCs/>
          <w:color w:val="auto"/>
          <w:sz w:val="44"/>
          <w:szCs w:val="44"/>
          <w:highlight w:val="none"/>
          <w:lang w:eastAsia="zh-CN"/>
        </w:rPr>
        <w:t>合同</w:t>
      </w:r>
    </w:p>
    <w:p w14:paraId="3698B4F3">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190C2D3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安徽省经工物资有限公司</w:t>
      </w:r>
      <w:r>
        <w:rPr>
          <w:rFonts w:hint="eastAsia" w:ascii="仿宋_GB2312" w:hAnsi="仿宋_GB2312" w:eastAsia="仿宋_GB2312" w:cs="仿宋_GB2312"/>
          <w:color w:val="auto"/>
          <w:sz w:val="28"/>
          <w:szCs w:val="28"/>
          <w:highlight w:val="none"/>
        </w:rPr>
        <w:t>（以下简称甲方）</w:t>
      </w:r>
      <w:permStart w:id="1" w:edGrp="everyone"/>
      <w:permEnd w:id="1"/>
    </w:p>
    <w:p w14:paraId="34C2A1B5">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2" w:edGrp="everyone"/>
      <w:r>
        <w:rPr>
          <w:rFonts w:hint="eastAsia" w:ascii="仿宋_GB2312" w:hAnsi="仿宋_GB2312" w:eastAsia="仿宋_GB2312" w:cs="仿宋_GB2312"/>
          <w:color w:val="auto"/>
          <w:sz w:val="28"/>
          <w:szCs w:val="28"/>
          <w:highlight w:val="none"/>
          <w:u w:val="single"/>
          <w:lang w:val="en-US" w:eastAsia="zh-CN"/>
        </w:rPr>
        <w:t xml:space="preserve">                      </w:t>
      </w:r>
      <w:permEnd w:id="2"/>
      <w:r>
        <w:rPr>
          <w:rFonts w:hint="eastAsia" w:ascii="仿宋_GB2312" w:hAnsi="仿宋_GB2312" w:eastAsia="仿宋_GB2312" w:cs="仿宋_GB2312"/>
          <w:color w:val="auto"/>
          <w:sz w:val="28"/>
          <w:szCs w:val="28"/>
          <w:highlight w:val="none"/>
        </w:rPr>
        <w:t xml:space="preserve">（以下简称乙方）  </w:t>
      </w:r>
    </w:p>
    <w:p w14:paraId="38C588AE">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permEnd w:id="3"/>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20F12AB6">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4A655A44">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w:t>
      </w:r>
      <w:permStart w:id="4" w:edGrp="everyone"/>
      <w:r>
        <w:rPr>
          <w:rFonts w:hint="eastAsia" w:ascii="仿宋_GB2312" w:hAnsi="仿宋_GB2312" w:eastAsia="仿宋_GB2312" w:cs="仿宋_GB2312"/>
          <w:color w:val="auto"/>
          <w:kern w:val="2"/>
          <w:sz w:val="28"/>
          <w:szCs w:val="28"/>
          <w:highlight w:val="none"/>
          <w:lang w:val="en-US" w:eastAsia="zh-CN" w:bidi="ar-SA"/>
        </w:rPr>
        <w:t>.本合同暂定总价为（含增值税）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元）。其中，不含增值税价款为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元），增值税税率为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%，增值税</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元（大写：人民币</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元）。</w:t>
      </w:r>
      <w:permEnd w:id="4"/>
      <w:r>
        <w:rPr>
          <w:rFonts w:hint="eastAsia" w:ascii="仿宋_GB2312" w:hAnsi="仿宋_GB2312" w:eastAsia="仿宋_GB2312" w:cs="仿宋_GB2312"/>
          <w:color w:val="auto"/>
          <w:kern w:val="2"/>
          <w:sz w:val="28"/>
          <w:szCs w:val="28"/>
          <w:highlight w:val="none"/>
          <w:lang w:val="en-US" w:eastAsia="zh-CN" w:bidi="ar-SA"/>
        </w:rPr>
        <w:t>若因国家税务政策变化导致税率调整，不含增值税价格不变，具体税金以变更后的税率计算。</w:t>
      </w:r>
    </w:p>
    <w:p w14:paraId="0B254823">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此单价涵盖各类税费、小型机械与工具费、管理费、利润、材料费（含辅材）、专用工具费、缺陷修复费、水电费、成品保护费、所有保险费、措施费 (内含垃圾清运、现场用于搭拆临时施工用架体、后期服务等费用)、运输费、深化设计费 (如有)、材料检测费、检验试验费、材料装卸车费、加工费、安装费、第三方检测费 (如有)、验收费、安全监督费用、试运行费、风险、交通、保洁、协调及完成本合同范围工作内容的安全费用、技术费用、措施费用、乙方人员保险费用以及与货物供应可能产生的所有成本和费用。在合同执行期内，产品单价不因市场波动、政策调整、人工涨跌等原因做任何形式的调整。本合同所列产品数量为暂估数量，最终以签收数量（乙方无条件补货与退货，并承担相应的运输、装卸货等费用）和固定综合单价进行结算。</w:t>
      </w:r>
    </w:p>
    <w:p w14:paraId="3E5CE15D">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73508C92">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1D4894D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运输费用和装卸费用、安装费用等均包含在合同价款内，由乙方承担。</w:t>
      </w:r>
    </w:p>
    <w:p w14:paraId="0611C1A3">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permEnd w:id="5"/>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1205F07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4.在运输过程以及安装过程中发生车辆人员毁损、伤亡等安全事故或发生对周围环境、水流、道路、树木、作物等损害事故时，由乙方承担各种赔偿费用，并由乙方与承运人、承保人办理理赔事宜。</w:t>
      </w:r>
    </w:p>
    <w:p w14:paraId="6DA8306C">
      <w:pPr>
        <w:keepNext w:val="0"/>
        <w:keepLines w:val="0"/>
        <w:pageBreakBefore w:val="0"/>
        <w:kinsoku/>
        <w:overflowPunct/>
        <w:autoSpaceDE/>
        <w:autoSpaceDN/>
        <w:bidi w:val="0"/>
        <w:adjustRightInd/>
        <w:snapToGrid/>
        <w:spacing w:line="560" w:lineRule="exact"/>
        <w:ind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5.乙方应在物资装车/船前24小时之内短信、微信等形式将合同号、物资名称、数量、运输工具名称、车/船号及启运日期通知甲方现场联系人。</w:t>
      </w:r>
    </w:p>
    <w:p w14:paraId="29A5CC6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7156A48">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F7C230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71DBFFD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0A342B7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 w:val="0"/>
          <w:bCs w:val="0"/>
          <w:color w:val="auto"/>
          <w:sz w:val="28"/>
          <w:szCs w:val="28"/>
          <w:highlight w:val="none"/>
        </w:rPr>
        <w:t>如品种、型号、规格、数量不符合规定和合同约定的，甲方在验收完毕后的</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日内向乙方提出异议和处理意见。对货物质量的异议不受时间限制，随时发现可以随时提出异议。乙方在收到甲方异议后，应在</w:t>
      </w: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日内负责处理；如果乙方逾期不予处理或收到异议通知后置之不理的，视为同意甲方提出的异议和处理意见，甲方有权将收到的货物自行处理，因此发生的费用和损失由乙方承担。</w:t>
      </w:r>
    </w:p>
    <w:p w14:paraId="19D2ADA2">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sz w:val="28"/>
          <w:szCs w:val="28"/>
          <w:highlight w:val="none"/>
        </w:rPr>
        <w:t>乙方所供的产品，必须符合该项目的检测要求并提供相关的检测资料，检测费用由乙方承担。</w:t>
      </w:r>
    </w:p>
    <w:p w14:paraId="4435764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6.</w:t>
      </w:r>
      <w:r>
        <w:rPr>
          <w:rFonts w:hint="eastAsia" w:ascii="仿宋_GB2312" w:hAnsi="仿宋_GB2312" w:eastAsia="仿宋_GB2312" w:cs="仿宋_GB2312"/>
          <w:b w:val="0"/>
          <w:bCs w:val="0"/>
          <w:color w:val="auto"/>
          <w:sz w:val="28"/>
          <w:szCs w:val="28"/>
          <w:highlight w:val="none"/>
        </w:rPr>
        <w:t>甲方有权对初步验收合格后的产品采取抽检、取样等方式交检验机构检验，任何被检验的货物如不能满足质量技术和规格要求，甲方有权要求对该批货品按照</w:t>
      </w:r>
      <w:r>
        <w:rPr>
          <w:rFonts w:hint="eastAsia" w:ascii="仿宋_GB2312" w:hAnsi="仿宋_GB2312" w:eastAsia="仿宋_GB2312" w:cs="仿宋_GB2312"/>
          <w:b w:val="0"/>
          <w:bCs w:val="0"/>
          <w:color w:val="auto"/>
          <w:sz w:val="28"/>
          <w:szCs w:val="28"/>
          <w:highlight w:val="none"/>
          <w:lang w:val="en-US" w:eastAsia="zh-CN"/>
        </w:rPr>
        <w:t>乙方违约</w:t>
      </w:r>
      <w:r>
        <w:rPr>
          <w:rFonts w:hint="eastAsia" w:ascii="仿宋_GB2312" w:hAnsi="仿宋_GB2312" w:eastAsia="仿宋_GB2312" w:cs="仿宋_GB2312"/>
          <w:b w:val="0"/>
          <w:bCs w:val="0"/>
          <w:color w:val="auto"/>
          <w:sz w:val="28"/>
          <w:szCs w:val="28"/>
          <w:highlight w:val="none"/>
        </w:rPr>
        <w:t>进行处理，因此产生的费用和给甲方造成的损失均由乙方承担。</w:t>
      </w:r>
    </w:p>
    <w:p w14:paraId="3988D98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7.产品</w:t>
      </w:r>
      <w:r>
        <w:rPr>
          <w:rFonts w:hint="eastAsia" w:ascii="仿宋_GB2312" w:hAnsi="仿宋_GB2312" w:eastAsia="仿宋_GB2312" w:cs="仿宋_GB2312"/>
          <w:b w:val="0"/>
          <w:bCs w:val="0"/>
          <w:color w:val="auto"/>
          <w:sz w:val="28"/>
          <w:szCs w:val="28"/>
          <w:highlight w:val="none"/>
        </w:rPr>
        <w:t>验收如发生争议，可交由项目所在地具</w:t>
      </w:r>
      <w:r>
        <w:rPr>
          <w:rFonts w:hint="eastAsia" w:ascii="仿宋_GB2312" w:hAnsi="仿宋_GB2312" w:eastAsia="仿宋_GB2312" w:cs="仿宋_GB2312"/>
          <w:b w:val="0"/>
          <w:bCs w:val="0"/>
          <w:color w:val="auto"/>
          <w:sz w:val="28"/>
          <w:szCs w:val="28"/>
          <w:highlight w:val="none"/>
          <w:lang w:val="en-US" w:eastAsia="zh-CN"/>
        </w:rPr>
        <w:t>有</w:t>
      </w:r>
      <w:r>
        <w:rPr>
          <w:rFonts w:hint="eastAsia" w:ascii="仿宋_GB2312" w:hAnsi="仿宋_GB2312" w:eastAsia="仿宋_GB2312" w:cs="仿宋_GB2312"/>
          <w:b w:val="0"/>
          <w:bCs w:val="0"/>
          <w:color w:val="auto"/>
          <w:sz w:val="28"/>
          <w:szCs w:val="28"/>
          <w:highlight w:val="none"/>
        </w:rPr>
        <w:t>国家认证的相应检测资质的检验机构对产品进行复检。检测费用约定：乙方</w:t>
      </w:r>
      <w:r>
        <w:rPr>
          <w:rFonts w:hint="eastAsia" w:ascii="仿宋_GB2312" w:hAnsi="仿宋_GB2312" w:eastAsia="仿宋_GB2312" w:cs="仿宋_GB2312"/>
          <w:b w:val="0"/>
          <w:bCs w:val="0"/>
          <w:color w:val="auto"/>
          <w:sz w:val="28"/>
          <w:szCs w:val="28"/>
          <w:highlight w:val="none"/>
          <w:lang w:val="en-US" w:eastAsia="zh-CN"/>
        </w:rPr>
        <w:t>承诺</w:t>
      </w:r>
      <w:r>
        <w:rPr>
          <w:rFonts w:hint="eastAsia" w:ascii="仿宋_GB2312" w:hAnsi="仿宋_GB2312" w:eastAsia="仿宋_GB2312" w:cs="仿宋_GB2312"/>
          <w:b w:val="0"/>
          <w:bCs w:val="0"/>
          <w:color w:val="auto"/>
          <w:sz w:val="28"/>
          <w:szCs w:val="28"/>
          <w:highlight w:val="none"/>
        </w:rPr>
        <w:t>委外检测费用由乙方</w:t>
      </w:r>
      <w:r>
        <w:rPr>
          <w:rFonts w:hint="eastAsia" w:ascii="仿宋_GB2312" w:hAnsi="仿宋_GB2312" w:eastAsia="仿宋_GB2312" w:cs="仿宋_GB2312"/>
          <w:b w:val="0"/>
          <w:bCs w:val="0"/>
          <w:color w:val="auto"/>
          <w:sz w:val="28"/>
          <w:szCs w:val="28"/>
          <w:highlight w:val="none"/>
          <w:lang w:val="en-US" w:eastAsia="zh-CN"/>
        </w:rPr>
        <w:t>先行</w:t>
      </w:r>
      <w:r>
        <w:rPr>
          <w:rFonts w:hint="eastAsia" w:ascii="仿宋_GB2312" w:hAnsi="仿宋_GB2312" w:eastAsia="仿宋_GB2312" w:cs="仿宋_GB2312"/>
          <w:b w:val="0"/>
          <w:bCs w:val="0"/>
          <w:color w:val="auto"/>
          <w:sz w:val="28"/>
          <w:szCs w:val="28"/>
          <w:highlight w:val="none"/>
        </w:rPr>
        <w:t>承担，检测结果</w:t>
      </w:r>
      <w:r>
        <w:rPr>
          <w:rFonts w:hint="eastAsia" w:ascii="仿宋_GB2312" w:hAnsi="仿宋_GB2312" w:eastAsia="仿宋_GB2312" w:cs="仿宋_GB2312"/>
          <w:b w:val="0"/>
          <w:bCs w:val="0"/>
          <w:color w:val="auto"/>
          <w:sz w:val="28"/>
          <w:szCs w:val="28"/>
          <w:highlight w:val="none"/>
          <w:lang w:val="en-US" w:eastAsia="zh-CN"/>
        </w:rPr>
        <w:t>出来后</w:t>
      </w:r>
      <w:r>
        <w:rPr>
          <w:rFonts w:hint="eastAsia" w:ascii="仿宋_GB2312" w:hAnsi="仿宋_GB2312" w:eastAsia="仿宋_GB2312" w:cs="仿宋_GB2312"/>
          <w:b w:val="0"/>
          <w:bCs w:val="0"/>
          <w:color w:val="auto"/>
          <w:sz w:val="28"/>
          <w:szCs w:val="28"/>
          <w:highlight w:val="none"/>
        </w:rPr>
        <w:t>，检测费用由</w:t>
      </w:r>
      <w:r>
        <w:rPr>
          <w:rFonts w:hint="eastAsia" w:ascii="仿宋_GB2312" w:hAnsi="仿宋_GB2312" w:eastAsia="仿宋_GB2312" w:cs="仿宋_GB2312"/>
          <w:b w:val="0"/>
          <w:bCs w:val="0"/>
          <w:color w:val="auto"/>
          <w:sz w:val="28"/>
          <w:szCs w:val="28"/>
          <w:highlight w:val="none"/>
          <w:lang w:val="en-US" w:eastAsia="zh-CN"/>
        </w:rPr>
        <w:t>责任方</w:t>
      </w:r>
      <w:r>
        <w:rPr>
          <w:rFonts w:hint="eastAsia" w:ascii="仿宋_GB2312" w:hAnsi="仿宋_GB2312" w:eastAsia="仿宋_GB2312" w:cs="仿宋_GB2312"/>
          <w:b w:val="0"/>
          <w:bCs w:val="0"/>
          <w:color w:val="auto"/>
          <w:sz w:val="28"/>
          <w:szCs w:val="28"/>
          <w:highlight w:val="none"/>
        </w:rPr>
        <w:t>承担。</w:t>
      </w:r>
    </w:p>
    <w:p w14:paraId="510F6DF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8.</w:t>
      </w:r>
      <w:r>
        <w:rPr>
          <w:rFonts w:hint="eastAsia" w:ascii="仿宋_GB2312" w:hAnsi="仿宋_GB2312" w:eastAsia="仿宋_GB2312" w:cs="仿宋_GB2312"/>
          <w:b w:val="0"/>
          <w:bCs w:val="0"/>
          <w:color w:val="auto"/>
          <w:sz w:val="28"/>
          <w:szCs w:val="28"/>
          <w:highlight w:val="none"/>
        </w:rPr>
        <w:t xml:space="preserve">甲方指定的上述人员是甲方唯一的收货代表，其在乙方送货清单上签字，作为乙方货物已到现场的证明，指定人员以外其他人员的验收、签认，对另一方不发生效力。一方指定人员发生变化时，应当及时告知对方，并自书面通知到达对方时产生效力。送货清单（或相应票据）中事先印刷的相关备注文字（双方验收人员签署的备注内容除外）内容不构成合同文件的组成部分。甲方对货物的验收，并不视为免除乙方对产品质量和技术应负的责任。 </w:t>
      </w:r>
    </w:p>
    <w:p w14:paraId="53D7AF59">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textAlignment w:val="auto"/>
        <w:rPr>
          <w:rFonts w:hint="eastAsia" w:eastAsia="仿宋"/>
          <w:color w:val="auto"/>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9.</w:t>
      </w:r>
      <w:r>
        <w:rPr>
          <w:rFonts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的材料设备供应及安装工程施工</w:t>
      </w:r>
      <w:r>
        <w:rPr>
          <w:rFonts w:ascii="仿宋" w:hAnsi="仿宋" w:eastAsia="仿宋"/>
          <w:color w:val="auto"/>
          <w:sz w:val="28"/>
          <w:szCs w:val="28"/>
          <w:highlight w:val="none"/>
        </w:rPr>
        <w:t>应严格按照技术要求和国家(行业)的相关质量标准，</w:t>
      </w:r>
      <w:r>
        <w:rPr>
          <w:rFonts w:hint="eastAsia" w:ascii="仿宋" w:hAnsi="仿宋" w:eastAsia="仿宋"/>
          <w:color w:val="auto"/>
          <w:sz w:val="28"/>
          <w:szCs w:val="28"/>
          <w:highlight w:val="none"/>
        </w:rPr>
        <w:t>同时应当满足项目图纸及规范的相关</w:t>
      </w:r>
      <w:r>
        <w:rPr>
          <w:rFonts w:hint="eastAsia" w:ascii="仿宋" w:hAnsi="仿宋" w:eastAsia="仿宋"/>
          <w:color w:val="auto"/>
          <w:sz w:val="28"/>
          <w:szCs w:val="28"/>
          <w:highlight w:val="none"/>
          <w:lang w:eastAsia="zh-CN"/>
        </w:rPr>
        <w:t>验收</w:t>
      </w:r>
      <w:r>
        <w:rPr>
          <w:rFonts w:hint="eastAsia" w:ascii="仿宋" w:hAnsi="仿宋" w:eastAsia="仿宋"/>
          <w:color w:val="auto"/>
          <w:sz w:val="28"/>
          <w:szCs w:val="28"/>
          <w:highlight w:val="none"/>
        </w:rPr>
        <w:t>要求，</w:t>
      </w:r>
      <w:r>
        <w:rPr>
          <w:rFonts w:hint="eastAsia" w:ascii="仿宋" w:hAnsi="仿宋" w:eastAsia="仿宋"/>
          <w:color w:val="auto"/>
          <w:sz w:val="28"/>
          <w:szCs w:val="28"/>
          <w:highlight w:val="none"/>
          <w:lang w:eastAsia="zh-CN"/>
        </w:rPr>
        <w:t>满足甲方工程验收标准要求，</w:t>
      </w:r>
      <w:r>
        <w:rPr>
          <w:rFonts w:ascii="仿宋" w:hAnsi="仿宋" w:eastAsia="仿宋"/>
          <w:color w:val="auto"/>
          <w:sz w:val="28"/>
          <w:szCs w:val="28"/>
          <w:highlight w:val="none"/>
        </w:rPr>
        <w:t>确保所供材料</w:t>
      </w:r>
      <w:r>
        <w:rPr>
          <w:rFonts w:hint="eastAsia" w:ascii="仿宋" w:hAnsi="仿宋" w:eastAsia="仿宋"/>
          <w:color w:val="auto"/>
          <w:sz w:val="28"/>
          <w:szCs w:val="28"/>
          <w:highlight w:val="none"/>
          <w:lang w:eastAsia="zh-CN"/>
        </w:rPr>
        <w:t>设备的施工和安装</w:t>
      </w:r>
      <w:r>
        <w:rPr>
          <w:rFonts w:ascii="仿宋" w:hAnsi="仿宋" w:eastAsia="仿宋"/>
          <w:color w:val="auto"/>
          <w:sz w:val="28"/>
          <w:szCs w:val="28"/>
          <w:highlight w:val="none"/>
        </w:rPr>
        <w:t>质量</w:t>
      </w:r>
      <w:r>
        <w:rPr>
          <w:rFonts w:hint="eastAsia" w:ascii="仿宋" w:hAnsi="仿宋" w:eastAsia="仿宋"/>
          <w:color w:val="auto"/>
          <w:sz w:val="28"/>
          <w:szCs w:val="28"/>
          <w:highlight w:val="none"/>
          <w:lang w:eastAsia="zh-CN"/>
        </w:rPr>
        <w:t>。</w:t>
      </w:r>
    </w:p>
    <w:p w14:paraId="55B40EAF">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D0F1D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2FD110F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 w:val="0"/>
          <w:bCs w:val="0"/>
          <w:color w:val="auto"/>
          <w:sz w:val="28"/>
          <w:szCs w:val="28"/>
          <w:highlight w:val="none"/>
        </w:rPr>
        <w:t>在质保期内，因货物使用过程中出现任何问题影响到甲方正常使用的，乙方须在收到甲方通知后</w:t>
      </w:r>
      <w:r>
        <w:rPr>
          <w:rFonts w:hint="eastAsia" w:ascii="仿宋_GB2312" w:hAnsi="仿宋_GB2312" w:eastAsia="仿宋_GB2312" w:cs="仿宋_GB2312"/>
          <w:b w:val="0"/>
          <w:bCs w:val="0"/>
          <w:color w:val="auto"/>
          <w:sz w:val="28"/>
          <w:szCs w:val="28"/>
          <w:highlight w:val="none"/>
          <w:lang w:val="en-US" w:eastAsia="zh-CN"/>
        </w:rPr>
        <w:t>3</w:t>
      </w:r>
      <w:r>
        <w:rPr>
          <w:rFonts w:hint="eastAsia" w:ascii="仿宋_GB2312" w:hAnsi="仿宋_GB2312" w:eastAsia="仿宋_GB2312" w:cs="仿宋_GB2312"/>
          <w:b w:val="0"/>
          <w:bCs w:val="0"/>
          <w:color w:val="auto"/>
          <w:sz w:val="28"/>
          <w:szCs w:val="28"/>
          <w:highlight w:val="none"/>
        </w:rPr>
        <w:t>日内进行维修或更换，因此产生的费用由乙方承担。</w:t>
      </w:r>
      <w:r>
        <w:rPr>
          <w:rFonts w:hint="eastAsia" w:ascii="仿宋_GB2312" w:hAnsi="仿宋_GB2312" w:eastAsia="仿宋_GB2312" w:cs="仿宋_GB2312"/>
          <w:color w:val="auto"/>
          <w:sz w:val="28"/>
          <w:szCs w:val="28"/>
          <w:highlight w:val="none"/>
          <w:lang w:val="en-US" w:eastAsia="zh-CN"/>
        </w:rPr>
        <w:t>质保期满后，若有零部件或货物出现故障，经鉴定属于寿命异常问题（明显短于该零部件或货物正常寿命）时，则由乙方负责免费更换维修。质保期满后，乙方以优惠价格向甲方提供所需的零配件或货物。</w:t>
      </w:r>
    </w:p>
    <w:p w14:paraId="3C6EDE5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29C50CF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4.合同标的中若有进口产品，则乙方必须提供报关单原产地证明、单机产品序列号、原生产厂商质量保证书等证明材料。</w:t>
      </w:r>
    </w:p>
    <w:p w14:paraId="15E38B8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空包装物及包装箱乙方承诺不再回收，均无偿归甲方所有。</w:t>
      </w:r>
    </w:p>
    <w:p w14:paraId="2882334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结算方式及期限</w:t>
      </w:r>
    </w:p>
    <w:p w14:paraId="1C18F21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1.合同签订后支付合同金额30%的预付款，支付前提供合同金额30%银行开具的预付款保函。</w:t>
      </w:r>
    </w:p>
    <w:p w14:paraId="5CCCC460">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2.全部货到现场后支付至货款的70%（含预付款）。</w:t>
      </w:r>
    </w:p>
    <w:p w14:paraId="73DA01D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3.全部安装结束后支付至初步计量（项目部核对数量）金额的85%（含预付款）。</w:t>
      </w:r>
    </w:p>
    <w:p w14:paraId="5E1C04E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4.经审计单位最终审定后支付至审定金额的97%。</w:t>
      </w:r>
    </w:p>
    <w:p w14:paraId="3EF00A0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5.预留最终审定金额的3%作为质保金，在缺陷责任期后无质量问题一次性无息支付。</w:t>
      </w:r>
    </w:p>
    <w:p w14:paraId="7C39155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6.成交公示后，在合同签订前，乙方需向甲方支付合同总价3%的履约保证金或提供合同总价5%的银行保函。</w:t>
      </w:r>
    </w:p>
    <w:p w14:paraId="3FBDC6E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供货后15日内将所送货物的送货单(需为经甲方指定签收人签字确认的有效送货单)汇总后向甲方提交书面对账清单，并由甲方根据实际情况进行确认；最终结算乙方需派专业造价人员编制终期结算单，经甲方确认后方可作为价款结算和付款依据，除此之外任何证明、收条、欠条、信函等文件，都不得作为结算、支付依据。若因乙方迟延提交对账清单，因此造成的损失由乙方自行承担。</w:t>
      </w:r>
    </w:p>
    <w:p w14:paraId="1EA9B6C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8.乙方应当向甲方提供符合甲方财务要求的国家税务局13%增值税专用发票，发票需要做到“三流一致”，也即“货物、劳务及应税服务流”、“资金流”、“发票流”必须都是同一受票方。</w:t>
      </w:r>
    </w:p>
    <w:p w14:paraId="6FF04D7E">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9.双方特别约定：遵循“先开票、后付款”的原则，甲方付款前，乙方应按双方确认的应付金额向甲方提供增值税专用发票，并于发票开具后</w:t>
      </w:r>
      <w:permStart w:id="8" w:edGrp="everyone"/>
      <w:r>
        <w:rPr>
          <w:rFonts w:hint="eastAsia" w:ascii="仿宋_GB2312" w:hAnsi="仿宋_GB2312" w:eastAsia="仿宋_GB2312" w:cs="仿宋_GB2312"/>
          <w:color w:val="auto"/>
          <w:sz w:val="28"/>
          <w:szCs w:val="28"/>
          <w:highlight w:val="none"/>
          <w:u w:val="single"/>
          <w:lang w:val="en-US" w:eastAsia="zh-CN"/>
        </w:rPr>
        <w:t xml:space="preserve">  7  </w:t>
      </w:r>
      <w:permEnd w:id="8"/>
      <w:r>
        <w:rPr>
          <w:rFonts w:hint="eastAsia" w:ascii="仿宋_GB2312" w:hAnsi="仿宋_GB2312" w:eastAsia="仿宋_GB2312" w:cs="仿宋_GB2312"/>
          <w:color w:val="auto"/>
          <w:sz w:val="28"/>
          <w:szCs w:val="28"/>
          <w:highlight w:val="none"/>
          <w:lang w:val="en-US" w:eastAsia="zh-CN"/>
        </w:rPr>
        <w:t>日内提交给甲方。甲方收到乙方发票后，按合同约定向乙方付款，否则甲方有权迟延付款。</w:t>
      </w:r>
    </w:p>
    <w:p w14:paraId="4F508463">
      <w:pPr>
        <w:wordWrap w:val="0"/>
        <w:spacing w:line="560" w:lineRule="exact"/>
        <w:ind w:firstLine="560" w:firstLineChars="200"/>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10.如甲方出现资金困难，乙方同意给予</w:t>
      </w:r>
      <w:permStart w:id="9" w:edGrp="everyone"/>
      <w:r>
        <w:rPr>
          <w:rFonts w:hint="eastAsia" w:ascii="仿宋_GB2312" w:hAnsi="仿宋_GB2312" w:eastAsia="仿宋_GB2312" w:cs="仿宋_GB2312"/>
          <w:color w:val="auto"/>
          <w:sz w:val="28"/>
          <w:szCs w:val="28"/>
          <w:highlight w:val="none"/>
          <w:u w:val="single"/>
          <w:lang w:val="en-US" w:eastAsia="zh-CN"/>
        </w:rPr>
        <w:t xml:space="preserve">  1  </w:t>
      </w:r>
      <w:permEnd w:id="9"/>
      <w:r>
        <w:rPr>
          <w:rFonts w:hint="eastAsia" w:ascii="仿宋_GB2312" w:hAnsi="仿宋_GB2312" w:eastAsia="仿宋_GB2312" w:cs="仿宋_GB2312"/>
          <w:color w:val="auto"/>
          <w:sz w:val="28"/>
          <w:szCs w:val="28"/>
          <w:highlight w:val="none"/>
          <w:lang w:val="en-US" w:eastAsia="zh-CN"/>
        </w:rPr>
        <w:t>个月的付款宽限期，</w:t>
      </w:r>
      <w:bookmarkStart w:id="64" w:name="_Hlk23929813"/>
      <w:r>
        <w:rPr>
          <w:rFonts w:hint="eastAsia" w:ascii="仿宋_GB2312" w:hAnsi="仿宋_GB2312" w:eastAsia="仿宋_GB2312" w:cs="仿宋_GB2312"/>
          <w:color w:val="auto"/>
          <w:sz w:val="28"/>
          <w:szCs w:val="28"/>
          <w:highlight w:val="none"/>
          <w:lang w:val="en-US" w:eastAsia="zh-CN"/>
        </w:rPr>
        <w:t>在此宽限期间内不视为甲方违约且不计息，</w:t>
      </w:r>
      <w:bookmarkEnd w:id="64"/>
      <w:r>
        <w:rPr>
          <w:rFonts w:hint="eastAsia" w:ascii="仿宋_GB2312" w:hAnsi="仿宋_GB2312" w:eastAsia="仿宋_GB2312" w:cs="仿宋_GB2312"/>
          <w:color w:val="auto"/>
          <w:sz w:val="28"/>
          <w:szCs w:val="28"/>
          <w:highlight w:val="none"/>
          <w:lang w:val="en-US" w:eastAsia="zh-CN"/>
        </w:rPr>
        <w:t>乙方不得以此为由中断本项目的货物供应和安装。</w:t>
      </w:r>
    </w:p>
    <w:p w14:paraId="6F09AC4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40E25D0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若成交人未能按照合同约定的标准、进度或要求履行其义务（包括但不限于延迟交货、质量不合格、数量短缺等），经采购人书面催告后仍未纠正的，采购人有权在不解除合同的前提下，将合同项下业务直接委托给第三方执行。由此产生的所有额外费用（包括但不限于差价、运输及管理费等）及损失，均由原成交人承担。采购人从原成交人的未支付合同款项中优先抵扣该等费用，不足部分，采购人有权向原成交人进一步追偿。</w:t>
      </w:r>
    </w:p>
    <w:p w14:paraId="1FE061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所交货物种类、型号、规格、花色、包装等不符合同规定的，如甲方同意使用，应按质论价；甲方不同意使用的，乙方应立即无条件的将不合格材料清理出施工现场，所产生的一切费用和由此造成的一切损失由乙方承担。</w:t>
      </w:r>
    </w:p>
    <w:p w14:paraId="0C5EA63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3.乙方不能随车提供质保书等其他单证的，甲方有权拒绝收货，乙方应承担退货等责任和费用，并向甲方支付未提供单证的货款金额的10%的违约金，并承担由此给甲方造成的全部损失。</w:t>
      </w:r>
    </w:p>
    <w:p w14:paraId="52D5DEF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应按约定时间交付符合本合同约定的货物并完成安装，若逾期履行，每逾期一日，乙方应按照逾期交货金额或逾期安装产品金额的20%向甲方支付逾期违约金；如逾期超过7日，则甲方有权解除合同或将乙方未完成的合同内容直接委托第三方继续履行，由第三方履行增加的费用，甲方将直接从乙方材料款中扣除。甲方解除合同的，乙方除应将已收款项返还甲方外，还应按合同总价款的10%向甲方支付违约金。</w:t>
      </w:r>
    </w:p>
    <w:p w14:paraId="30F8E3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所供产品质量、型号等须符合国家质量标准和本合同的要求，否则，甲方可以要求乙方重新补发符合质量标准的货物，乙方还应承担不能按约交货的违约责任。甲方要求解除合同的，乙方除应将已收款项返还甲方外，还应按合同总价款的10%向甲方支付违约金，违约金不足以赔偿损失的，乙方还应做相应赔偿。如果最终用户或第三方根据国内产品责任条款就货物问题向甲方进行索赔，乙方有义务赔偿甲方所面临的全部索赔及费用（包括但不限于各项费用、损失赔偿以及甲方为应诉而支出的律师费、诉讼费等）。</w:t>
      </w:r>
    </w:p>
    <w:p w14:paraId="570E27CA">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未按设计及规范要求进行安装，甲方有权制止，并通知其停工整顿。由此造成的工期延误及经济损失，均由乙方负责。安装质量达不到合格标准，乙方应无条件返工至全部合格，还应按合同总价款的10%向甲方支付违约金。</w:t>
      </w:r>
    </w:p>
    <w:p w14:paraId="50B567DF">
      <w:pPr>
        <w:pStyle w:val="8"/>
        <w:keepNext w:val="0"/>
        <w:keepLines w:val="0"/>
        <w:pageBreakBefore w:val="0"/>
        <w:widowControl w:val="0"/>
        <w:kinsoku/>
        <w:wordWrap w:val="0"/>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7.乙方不得擅自停止供货，否则甲方有权重新选择其它供应商，同时乙方承担本合同第一条中含增值税总价30%的违约金，并赔偿给甲方造成的一切损失。</w:t>
      </w:r>
    </w:p>
    <w:p w14:paraId="6DE456B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8.乙方应按合同约定及时向甲方提供增值税专用发票，逾期提供的，每逾期一天，乙方应向甲方支付违约金</w:t>
      </w:r>
      <w:permStart w:id="10" w:edGrp="everyone"/>
      <w:r>
        <w:rPr>
          <w:rFonts w:hint="eastAsia" w:ascii="仿宋_GB2312" w:hAnsi="仿宋_GB2312" w:eastAsia="仿宋_GB2312" w:cs="仿宋_GB2312"/>
          <w:b w:val="0"/>
          <w:bCs w:val="0"/>
          <w:color w:val="auto"/>
          <w:sz w:val="28"/>
          <w:szCs w:val="28"/>
          <w:highlight w:val="none"/>
          <w:u w:val="single"/>
          <w:lang w:val="en-US" w:eastAsia="zh-CN"/>
        </w:rPr>
        <w:t xml:space="preserve"> 1000 </w:t>
      </w:r>
      <w:permEnd w:id="10"/>
      <w:r>
        <w:rPr>
          <w:rFonts w:hint="eastAsia" w:ascii="仿宋_GB2312" w:hAnsi="仿宋_GB2312" w:eastAsia="仿宋_GB2312" w:cs="仿宋_GB2312"/>
          <w:color w:val="auto"/>
          <w:sz w:val="28"/>
          <w:szCs w:val="28"/>
          <w:highlight w:val="none"/>
          <w:lang w:val="en-US" w:eastAsia="zh-CN"/>
        </w:rPr>
        <w:t>元。因乙方开具的增值税专用发票造成甲方无法及时认证、抵扣税款等情形的，乙方需向甲方承担赔偿责任包括但不限于税款、滞纳金、罚款及相关损失等。</w:t>
      </w:r>
    </w:p>
    <w:p w14:paraId="6E6C410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9.为了保障物资供应，甲方有权向任意第三方采购本合同约定的货物，乙方对此明知且认可，乙方不得以此要求甲方承担任何违约责任。</w:t>
      </w:r>
    </w:p>
    <w:p w14:paraId="0A2C60B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10.乙方违反本合同义务，致使甲方通过法律途径向乙方主张权利的，乙方除应承担相应赔偿及费用外，还应承担甲方为此而支出的律师费、诉讼费等。</w:t>
      </w:r>
    </w:p>
    <w:p w14:paraId="5C3A6FB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11.对于乙方因违反本合同约定需支付的违约金，甲方有权在应付货款中直接予以扣除。</w:t>
      </w:r>
    </w:p>
    <w:p w14:paraId="3290673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12.禁止转包分包</w:t>
      </w:r>
    </w:p>
    <w:p w14:paraId="6B158617">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鉴于保护合同双方权益及确保工程质量和进度，双方明确以下转包分包相关事项:</w:t>
      </w:r>
    </w:p>
    <w:p w14:paraId="3D67154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（1）乙方不得将本合同项下的任何部分工程转包或分包给任何第三方。如有特殊情况，必须经甲方书面同意。</w:t>
      </w:r>
    </w:p>
    <w:p w14:paraId="12709ACF">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（2）若乙方未经甲方同意擅自转包或分包 ,甲方有权立即终止本合同并要求乙方承担由此造成的一切损失。</w:t>
      </w:r>
    </w:p>
    <w:p w14:paraId="0C7DAE6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（3）乙方与任何第三方签订的与本合同相关的协议或承诺书 ,对甲方不具有法律约束力，除非得到甲方的书面确认。</w:t>
      </w:r>
    </w:p>
    <w:p w14:paraId="3D2EE18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01B71394">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3C8BBEF4">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0D3FF775">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5E554AF9">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3.清单所列工程量为暂估数量，最终以实际工程量为准。</w:t>
      </w:r>
    </w:p>
    <w:p w14:paraId="7669B280">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4.拟成交人须在采购人通知之日起3日内重新送样并经采购人确认、封样，产品生产工艺要求等参照确样标准执行，主辅材品牌需报采购人同意后方可使用</w:t>
      </w:r>
    </w:p>
    <w:p w14:paraId="517A370D">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5.每个包段现场安排不少于2人专业深化人员，每批货下单后7天完成生产，货到现场后7天内完成安装。</w:t>
      </w:r>
    </w:p>
    <w:p w14:paraId="7AF58C66">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6.乙方送货车辆到甲方现场后，在行驶和卸货过程中，乙方驾驶人员应自行察看周围地形，乙方车辆在甲方现场若出现事故产生损失或造成对第三人侵权等其他情形，一切损失和责任均由乙方自行承担。</w:t>
      </w:r>
    </w:p>
    <w:p w14:paraId="2FEA91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43FF0AF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6807CC0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9.乙方必须保证甲方在使用乙方提供的货物时，不存在任何不合法的情形，也不存在与第三方专利权、著作权、商标权等相关的任何争议，如果有任何因甲方使用乙方提供的货物而提起的侵权指控，或供应假冒伪劣货物，乙方依法承担全部责任。</w:t>
      </w:r>
    </w:p>
    <w:p w14:paraId="08A79693">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10.本合同中所涉及的债权，乙方不得转让，也不得用于任何形式的担保。若乙方擅自转让或用于担保的，则该行为无效，乙方应赔偿甲方因此受到的全部损失。</w:t>
      </w:r>
    </w:p>
    <w:p w14:paraId="408F7B06">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3216805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4920E14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4807B79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3726BC8F">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2.本合同自甲乙双方签字和盖章之日起生效。</w:t>
      </w:r>
    </w:p>
    <w:p w14:paraId="3FC0C8EA">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4D3793A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6DE22DE6">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45BD0C9B">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1E98E504">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32050439">
      <w:pPr>
        <w:bidi w:val="0"/>
        <w:rPr>
          <w:rFonts w:hint="eastAsia"/>
          <w:color w:val="auto"/>
          <w:highlight w:val="none"/>
          <w:lang w:val="en-US" w:eastAsia="zh-CN"/>
        </w:rPr>
      </w:pPr>
    </w:p>
    <w:p w14:paraId="620FCE0D">
      <w:pPr>
        <w:pStyle w:val="10"/>
        <w:rPr>
          <w:rFonts w:hint="eastAsia"/>
          <w:color w:val="auto"/>
          <w:highlight w:val="none"/>
          <w:lang w:val="en-US" w:eastAsia="zh-CN"/>
        </w:rPr>
      </w:pPr>
    </w:p>
    <w:p w14:paraId="1630FBD1">
      <w:pPr>
        <w:rPr>
          <w:rFonts w:hint="eastAsia"/>
          <w:color w:val="auto"/>
          <w:highlight w:val="none"/>
          <w:lang w:val="en-US" w:eastAsia="zh-CN"/>
        </w:rPr>
      </w:pPr>
    </w:p>
    <w:p w14:paraId="07847061">
      <w:pPr>
        <w:pStyle w:val="8"/>
        <w:rPr>
          <w:rFonts w:hint="eastAsia"/>
          <w:color w:val="auto"/>
          <w:highlight w:val="none"/>
          <w:lang w:val="en-US" w:eastAsia="zh-CN"/>
        </w:rPr>
      </w:pPr>
    </w:p>
    <w:p w14:paraId="73DF31A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11"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3DBB9C56">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1194E36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393E60E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25E9561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61A42EBA">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79DC59D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3A5BA6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28F5BBC">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4C1A0C4A">
      <w:pPr>
        <w:pStyle w:val="8"/>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 xml:space="preserve">电子邮件：    </w:t>
      </w:r>
      <w:r>
        <w:rPr>
          <w:rFonts w:hint="eastAsia"/>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电子邮件：</w:t>
      </w:r>
    </w:p>
    <w:p w14:paraId="520A1C0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ermEnd w:id="11"/>
    <w:p w14:paraId="2ED512F6">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7328589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21EA6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06713E6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2E90DA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12"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2"/>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2BF35B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8877D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6C6B09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4"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4"/>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204846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7BE99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5961C79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432F0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2677FF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0E105A4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6DA86DA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3DFA0E0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1B91B27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646019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1507000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33953C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6FC6431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0180A99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37F939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0AA7A01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72AD2F0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040B7B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7F74B4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6301BC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73A110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4A6A04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186770F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70377D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5" w:edGrp="everyone"/>
      <w:r>
        <w:rPr>
          <w:rFonts w:hint="eastAsia" w:ascii="仿宋_GB2312" w:hAnsi="仿宋_GB2312" w:eastAsia="仿宋_GB2312" w:cs="仿宋_GB2312"/>
          <w:color w:val="auto"/>
          <w:sz w:val="28"/>
          <w:szCs w:val="28"/>
          <w:highlight w:val="none"/>
          <w:u w:val="single"/>
          <w:lang w:val="en-US" w:eastAsia="zh-CN"/>
        </w:rPr>
        <w:t xml:space="preserve">                             </w:t>
      </w:r>
      <w:permEnd w:id="15"/>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060665C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0C7691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1938AE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3BDA304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7DEFB3C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rPr>
        <w:t>或</w:t>
      </w:r>
    </w:p>
    <w:p w14:paraId="4A924C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C5CC43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7A06A240">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p>
    <w:p w14:paraId="744ACC02">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78BB26C4">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DBAF322">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4BFF88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permStart w:id="16" w:edGrp="everyone"/>
      <w:r>
        <w:rPr>
          <w:rFonts w:hint="eastAsia" w:ascii="仿宋_GB2312" w:hAnsi="仿宋_GB2312" w:eastAsia="仿宋_GB2312" w:cs="仿宋_GB2312"/>
          <w:color w:val="auto"/>
          <w:spacing w:val="0"/>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w:t>
      </w:r>
      <w:r>
        <w:rPr>
          <w:rFonts w:hint="eastAsia" w:ascii="仿宋_GB2312" w:hAnsi="仿宋_GB2312" w:eastAsia="仿宋_GB2312" w:cs="仿宋_GB2312"/>
          <w:color w:val="auto"/>
          <w:sz w:val="28"/>
          <w:szCs w:val="28"/>
          <w:highlight w:val="none"/>
          <w:lang w:val="en-US" w:eastAsia="zh-CN"/>
        </w:rPr>
        <w:t>做</w:t>
      </w:r>
      <w:r>
        <w:rPr>
          <w:rFonts w:hint="eastAsia" w:ascii="仿宋_GB2312" w:hAnsi="仿宋_GB2312" w:eastAsia="仿宋_GB2312" w:cs="仿宋_GB2312"/>
          <w:color w:val="auto"/>
          <w:sz w:val="28"/>
          <w:szCs w:val="28"/>
          <w:highlight w:val="none"/>
        </w:rPr>
        <w:t>好本项目的安全管理工作，本项目</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7" w:edGrp="everyone"/>
      <w:r>
        <w:rPr>
          <w:rFonts w:hint="eastAsia" w:ascii="仿宋_GB2312" w:hAnsi="仿宋_GB2312" w:eastAsia="仿宋_GB2312" w:cs="仿宋_GB2312"/>
          <w:color w:val="auto"/>
          <w:sz w:val="28"/>
          <w:szCs w:val="28"/>
          <w:highlight w:val="none"/>
          <w:u w:val="single"/>
          <w:lang w:val="en-US" w:eastAsia="zh-CN"/>
        </w:rPr>
        <w:t xml:space="preserve">              </w:t>
      </w:r>
      <w:permEnd w:id="17"/>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4B164D8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w:t>
      </w:r>
      <w:r>
        <w:rPr>
          <w:rFonts w:hint="eastAsia" w:ascii="仿宋_GB2312" w:hAnsi="仿宋_GB2312" w:eastAsia="仿宋_GB2312" w:cs="仿宋_GB2312"/>
          <w:color w:val="auto"/>
          <w:sz w:val="28"/>
          <w:szCs w:val="28"/>
          <w:highlight w:val="none"/>
          <w:lang w:val="en-US" w:eastAsia="zh-CN"/>
        </w:rPr>
        <w:t>国</w:t>
      </w:r>
      <w:r>
        <w:rPr>
          <w:rFonts w:hint="eastAsia" w:ascii="仿宋_GB2312" w:hAnsi="仿宋_GB2312" w:eastAsia="仿宋_GB2312" w:cs="仿宋_GB2312"/>
          <w:color w:val="auto"/>
          <w:sz w:val="28"/>
          <w:szCs w:val="28"/>
          <w:highlight w:val="none"/>
        </w:rPr>
        <w:t>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w:t>
      </w:r>
      <w:r>
        <w:rPr>
          <w:rFonts w:hint="eastAsia" w:ascii="仿宋_GB2312" w:hAnsi="仿宋_GB2312" w:eastAsia="仿宋_GB2312" w:cs="仿宋_GB2312"/>
          <w:color w:val="auto"/>
          <w:sz w:val="28"/>
          <w:szCs w:val="28"/>
          <w:highlight w:val="none"/>
          <w:lang w:val="en-US" w:eastAsia="zh-CN"/>
        </w:rPr>
        <w:t>材料供应、运输、卸货、安装等</w:t>
      </w:r>
      <w:r>
        <w:rPr>
          <w:rFonts w:hint="eastAsia" w:ascii="仿宋_GB2312" w:hAnsi="仿宋_GB2312" w:eastAsia="仿宋_GB2312" w:cs="仿宋_GB2312"/>
          <w:color w:val="auto"/>
          <w:sz w:val="28"/>
          <w:szCs w:val="28"/>
          <w:highlight w:val="none"/>
        </w:rPr>
        <w:t>安全事项协商一致，双方达成如下协议：</w:t>
      </w:r>
    </w:p>
    <w:p w14:paraId="61F02F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9AFE1C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二、甲方负责提供材料堆放场地，乙方负责运输</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供应及安装</w:t>
      </w:r>
      <w:r>
        <w:rPr>
          <w:rFonts w:hint="eastAsia" w:ascii="仿宋_GB2312" w:hAnsi="仿宋_GB2312" w:eastAsia="仿宋_GB2312" w:cs="仿宋_GB2312"/>
          <w:color w:val="auto"/>
          <w:sz w:val="28"/>
          <w:szCs w:val="28"/>
          <w:highlight w:val="none"/>
        </w:rPr>
        <w:t>。</w:t>
      </w:r>
    </w:p>
    <w:p w14:paraId="3346E5F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95A7C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3702E1E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对于从事电气、起重、建筑登高架设作业、锅炉、压力容器、焊接、机动车船艇驾驶、爆破、潜水、瓦斯检验等特殊工种的人员，经过专业培训，获得《安全操作合格证》</w:t>
      </w:r>
      <w:r>
        <w:rPr>
          <w:rFonts w:hint="eastAsia" w:ascii="仿宋_GB2312" w:hAnsi="仿宋_GB2312" w:eastAsia="仿宋_GB2312" w:cs="仿宋_GB2312"/>
          <w:color w:val="auto"/>
          <w:sz w:val="28"/>
          <w:szCs w:val="28"/>
          <w:highlight w:val="none"/>
          <w:lang w:val="en-US" w:eastAsia="zh-CN"/>
        </w:rPr>
        <w:t>或岗位证书</w:t>
      </w:r>
      <w:r>
        <w:rPr>
          <w:rFonts w:hint="eastAsia" w:ascii="仿宋_GB2312" w:hAnsi="仿宋_GB2312" w:eastAsia="仿宋_GB2312" w:cs="仿宋_GB2312"/>
          <w:color w:val="auto"/>
          <w:sz w:val="28"/>
          <w:szCs w:val="28"/>
          <w:highlight w:val="none"/>
        </w:rPr>
        <w:t>后，方准持证上岗。</w:t>
      </w:r>
    </w:p>
    <w:p w14:paraId="1879B67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六、</w:t>
      </w:r>
      <w:r>
        <w:rPr>
          <w:rFonts w:hint="eastAsia" w:ascii="仿宋_GB2312" w:hAnsi="仿宋_GB2312" w:eastAsia="仿宋_GB2312" w:cs="仿宋_GB2312"/>
          <w:color w:val="auto"/>
          <w:sz w:val="28"/>
          <w:szCs w:val="28"/>
          <w:highlight w:val="none"/>
        </w:rPr>
        <w:t>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25173D0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操作人员上岗，必须按规定穿戴防护用品。施工负责人和安全</w:t>
      </w:r>
      <w:r>
        <w:rPr>
          <w:rFonts w:hint="eastAsia" w:ascii="仿宋_GB2312" w:hAnsi="仿宋_GB2312" w:eastAsia="仿宋_GB2312" w:cs="仿宋_GB2312"/>
          <w:color w:val="auto"/>
          <w:sz w:val="28"/>
          <w:szCs w:val="28"/>
          <w:highlight w:val="none"/>
          <w:lang w:val="en-US" w:eastAsia="zh-CN"/>
        </w:rPr>
        <w:t>管理人</w:t>
      </w:r>
      <w:r>
        <w:rPr>
          <w:rFonts w:hint="eastAsia" w:ascii="仿宋_GB2312" w:hAnsi="仿宋_GB2312" w:eastAsia="仿宋_GB2312" w:cs="仿宋_GB2312"/>
          <w:color w:val="auto"/>
          <w:sz w:val="28"/>
          <w:szCs w:val="28"/>
          <w:highlight w:val="none"/>
        </w:rPr>
        <w:t>员应随时检查劳动防护用品的穿戴情况，不按规定穿戴防护用品的人员不得上岗。</w:t>
      </w:r>
      <w:r>
        <w:rPr>
          <w:rFonts w:hint="eastAsia" w:ascii="仿宋_GB2312" w:hAnsi="仿宋_GB2312" w:eastAsia="仿宋_GB2312" w:cs="仿宋_GB2312"/>
          <w:color w:val="auto"/>
          <w:sz w:val="28"/>
          <w:szCs w:val="28"/>
          <w:highlight w:val="none"/>
          <w:lang w:val="en-US" w:eastAsia="zh-CN"/>
        </w:rPr>
        <w:t>在甲方区域，禁止出现无证操作、无证驾驶现象。</w:t>
      </w:r>
    </w:p>
    <w:p w14:paraId="71A54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所有施工机具设备和高空作业的设备均应定期检查，并有安全员的签字记录，保证其经常处于完好状态；不合格的机具、设备和劳动保护用品严禁使用</w:t>
      </w:r>
      <w:r>
        <w:rPr>
          <w:rFonts w:hint="eastAsia" w:ascii="仿宋_GB2312" w:hAnsi="仿宋_GB2312" w:eastAsia="仿宋_GB2312" w:cs="仿宋_GB2312"/>
          <w:color w:val="auto"/>
          <w:sz w:val="28"/>
          <w:szCs w:val="28"/>
          <w:highlight w:val="none"/>
          <w:lang w:eastAsia="zh-CN"/>
        </w:rPr>
        <w:t>。</w:t>
      </w:r>
    </w:p>
    <w:p w14:paraId="4360A81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施工中采用新技术、新工艺、新设备、新材料时，必须制定相应的安全技术措施，施工现场必须具有相关的安全标志牌。</w:t>
      </w:r>
    </w:p>
    <w:p w14:paraId="34331A6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4961DD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十一</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在甲方运输场地内的运输、材料卸货、安装等安全</w:t>
      </w:r>
      <w:r>
        <w:rPr>
          <w:rFonts w:hint="eastAsia" w:ascii="仿宋_GB2312" w:hAnsi="仿宋_GB2312" w:eastAsia="仿宋_GB2312" w:cs="仿宋_GB2312"/>
          <w:color w:val="auto"/>
          <w:sz w:val="28"/>
          <w:szCs w:val="28"/>
          <w:highlight w:val="none"/>
        </w:rPr>
        <w:t>，如发生各类人身、财产事故，造成的一切损失均由乙方负责承担，甲方概不负责。</w:t>
      </w:r>
    </w:p>
    <w:p w14:paraId="36D51C0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十</w:t>
      </w:r>
      <w:r>
        <w:rPr>
          <w:rFonts w:hint="eastAsia" w:ascii="仿宋_GB2312" w:hAnsi="仿宋_GB2312" w:eastAsia="仿宋_GB2312" w:cs="仿宋_GB2312"/>
          <w:color w:val="auto"/>
          <w:sz w:val="28"/>
          <w:szCs w:val="28"/>
          <w:highlight w:val="none"/>
          <w:lang w:val="en-US" w:eastAsia="zh-CN"/>
        </w:rPr>
        <w:t>二</w:t>
      </w:r>
      <w:r>
        <w:rPr>
          <w:rFonts w:hint="eastAsia" w:ascii="仿宋_GB2312" w:hAnsi="仿宋_GB2312" w:eastAsia="仿宋_GB2312" w:cs="仿宋_GB2312"/>
          <w:color w:val="auto"/>
          <w:sz w:val="28"/>
          <w:szCs w:val="28"/>
          <w:highlight w:val="none"/>
        </w:rPr>
        <w:t xml:space="preserve">、争议的解决 </w:t>
      </w:r>
    </w:p>
    <w:p w14:paraId="7072748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34A10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十三、</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5F37D6B8">
      <w:pPr>
        <w:pStyle w:val="8"/>
        <w:widowControl w:val="0"/>
        <w:numPr>
          <w:ilvl w:val="0"/>
          <w:numId w:val="0"/>
        </w:numPr>
        <w:spacing w:after="120"/>
        <w:jc w:val="both"/>
        <w:rPr>
          <w:rFonts w:hint="eastAsia"/>
          <w:color w:val="auto"/>
          <w:highlight w:val="none"/>
        </w:rPr>
      </w:pPr>
    </w:p>
    <w:p w14:paraId="4B89D4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78DC61A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6D4138D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252E663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381E3B36">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73F26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highlight w:val="none"/>
          <w:lang w:val="en-US" w:eastAsia="zh-CN"/>
        </w:rPr>
      </w:pPr>
    </w:p>
    <w:p w14:paraId="397ACF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4C846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18BD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CD36D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308FBB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526EB1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666188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6120D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454D9B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14:paraId="7E2E439F">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59F73C35">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p>
    <w:p w14:paraId="6CC96791">
      <w:pPr>
        <w:pStyle w:val="20"/>
        <w:keepNext w:val="0"/>
        <w:keepLines w:val="0"/>
        <w:pageBreakBefore w:val="0"/>
        <w:kinsoku/>
        <w:wordWrap/>
        <w:overflowPunct/>
        <w:topLinePunct w:val="0"/>
        <w:autoSpaceDE/>
        <w:autoSpaceDN/>
        <w:bidi w:val="0"/>
        <w:adjustRightInd/>
        <w:snapToGrid/>
        <w:spacing w:line="560" w:lineRule="exact"/>
        <w:ind w:left="0" w:firstLine="0" w:firstLineChars="0"/>
        <w:jc w:val="both"/>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3</w:t>
      </w:r>
      <w:r>
        <w:rPr>
          <w:rFonts w:hint="eastAsia" w:ascii="仿宋_GB2312" w:hAnsi="仿宋_GB2312" w:eastAsia="仿宋_GB2312" w:cs="仿宋_GB2312"/>
          <w:b/>
          <w:color w:val="auto"/>
          <w:sz w:val="28"/>
          <w:szCs w:val="28"/>
          <w:highlight w:val="none"/>
        </w:rPr>
        <w:t>：</w:t>
      </w:r>
      <w:r>
        <w:rPr>
          <w:rFonts w:hint="eastAsia" w:ascii="仿宋_GB2312" w:hAnsi="仿宋_GB2312" w:eastAsia="仿宋_GB2312" w:cs="仿宋_GB2312"/>
          <w:b/>
          <w:color w:val="auto"/>
          <w:sz w:val="28"/>
          <w:szCs w:val="28"/>
          <w:highlight w:val="none"/>
          <w:lang w:val="en-US" w:eastAsia="zh-CN"/>
        </w:rPr>
        <w:t xml:space="preserve">                 </w:t>
      </w:r>
    </w:p>
    <w:p w14:paraId="08119ECB">
      <w:pPr>
        <w:pStyle w:val="20"/>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eastAsiaTheme="minorEastAsia"/>
          <w:color w:val="auto"/>
          <w:highlight w:val="none"/>
          <w:lang w:val="en-US" w:eastAsia="zh-CN"/>
        </w:rPr>
      </w:pPr>
      <w:r>
        <w:rPr>
          <w:rFonts w:hint="eastAsia" w:ascii="方正小标宋简体" w:hAnsi="方正小标宋简体" w:eastAsia="方正小标宋简体" w:cs="方正小标宋简体"/>
          <w:b/>
          <w:color w:val="auto"/>
          <w:sz w:val="44"/>
          <w:szCs w:val="44"/>
          <w:highlight w:val="none"/>
          <w:lang w:val="en-US" w:eastAsia="zh-CN"/>
        </w:rPr>
        <w:t>报价清单</w:t>
      </w:r>
    </w:p>
    <w:p w14:paraId="3714D55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r>
        <w:rPr>
          <w:rFonts w:hint="eastAsia"/>
          <w:color w:val="auto"/>
          <w:highlight w:val="none"/>
          <w:lang w:val="en-US" w:eastAsia="zh-CN"/>
        </w:rPr>
        <w:t xml:space="preserve"> </w:t>
      </w:r>
    </w:p>
    <w:p w14:paraId="328B4BB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ermStart w:id="18" w:edGrp="everyone"/>
    </w:p>
    <w:p w14:paraId="3D58C033">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4C452718">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eastAsia"/>
          <w:color w:val="auto"/>
          <w:highlight w:val="none"/>
          <w:lang w:val="en-US" w:eastAsia="zh-CN"/>
        </w:rPr>
      </w:pPr>
    </w:p>
    <w:p w14:paraId="0AF30D25">
      <w:pPr>
        <w:keepNext w:val="0"/>
        <w:keepLines w:val="0"/>
        <w:pageBreakBefore w:val="0"/>
        <w:kinsoku/>
        <w:wordWrap/>
        <w:overflowPunct/>
        <w:topLinePunct w:val="0"/>
        <w:autoSpaceDE/>
        <w:autoSpaceDN/>
        <w:bidi w:val="0"/>
        <w:adjustRightInd/>
        <w:snapToGrid/>
        <w:spacing w:line="560" w:lineRule="exact"/>
        <w:ind w:firstLine="420" w:firstLineChars="200"/>
        <w:jc w:val="both"/>
        <w:rPr>
          <w:rFonts w:hint="default"/>
          <w:color w:val="auto"/>
          <w:highlight w:val="none"/>
          <w:lang w:val="en-US" w:eastAsia="zh-CN"/>
        </w:rPr>
      </w:pPr>
      <w:r>
        <w:rPr>
          <w:rFonts w:hint="eastAsia"/>
          <w:color w:val="auto"/>
          <w:highlight w:val="none"/>
          <w:lang w:val="en-US" w:eastAsia="zh-CN"/>
        </w:rPr>
        <w:t xml:space="preserve">     </w:t>
      </w:r>
    </w:p>
    <w:permEnd w:id="18"/>
    <w:p w14:paraId="61702EFC">
      <w:pPr>
        <w:rPr>
          <w:color w:val="auto"/>
          <w:highlight w:val="none"/>
        </w:rPr>
      </w:pPr>
    </w:p>
    <w:p w14:paraId="1A2DB473">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11"/>
        <w:bidi w:val="0"/>
        <w:rPr>
          <w:rFonts w:hint="eastAsia"/>
          <w:color w:val="auto"/>
          <w:highlight w:val="none"/>
        </w:rPr>
      </w:pPr>
    </w:p>
    <w:p w14:paraId="2A3C4900">
      <w:pPr>
        <w:pStyle w:val="33"/>
        <w:jc w:val="center"/>
        <w:rPr>
          <w:rFonts w:hint="eastAsia" w:ascii="宋体" w:hAnsi="宋体" w:eastAsia="宋体" w:cs="宋体"/>
          <w:b/>
          <w:bCs/>
          <w:color w:val="auto"/>
          <w:sz w:val="28"/>
          <w:szCs w:val="28"/>
          <w:highlight w:val="none"/>
          <w:lang w:val="en-US" w:eastAsia="zh-CN"/>
        </w:rPr>
      </w:pPr>
    </w:p>
    <w:p w14:paraId="1759D57E">
      <w:pPr>
        <w:pStyle w:val="33"/>
        <w:jc w:val="center"/>
        <w:rPr>
          <w:rFonts w:hint="eastAsia" w:ascii="宋体" w:hAnsi="宋体" w:eastAsia="宋体" w:cs="宋体"/>
          <w:b/>
          <w:bCs/>
          <w:color w:val="auto"/>
          <w:sz w:val="28"/>
          <w:szCs w:val="28"/>
          <w:highlight w:val="none"/>
          <w:lang w:val="en-US" w:eastAsia="zh-CN"/>
        </w:rPr>
      </w:pPr>
    </w:p>
    <w:p w14:paraId="4C149A90">
      <w:pPr>
        <w:pStyle w:val="33"/>
        <w:jc w:val="center"/>
        <w:rPr>
          <w:rFonts w:hint="eastAsia" w:ascii="宋体" w:hAnsi="宋体" w:eastAsia="宋体" w:cs="宋体"/>
          <w:b/>
          <w:bCs/>
          <w:color w:val="auto"/>
          <w:sz w:val="28"/>
          <w:szCs w:val="28"/>
          <w:highlight w:val="none"/>
          <w:lang w:val="en-US" w:eastAsia="zh-CN"/>
        </w:rPr>
      </w:pPr>
    </w:p>
    <w:p w14:paraId="1CB452E7">
      <w:pPr>
        <w:pStyle w:val="33"/>
        <w:jc w:val="center"/>
        <w:rPr>
          <w:rFonts w:hint="eastAsia" w:ascii="宋体" w:hAnsi="宋体" w:eastAsia="宋体" w:cs="宋体"/>
          <w:b/>
          <w:bCs/>
          <w:color w:val="auto"/>
          <w:sz w:val="28"/>
          <w:szCs w:val="28"/>
          <w:highlight w:val="none"/>
          <w:lang w:val="en-US" w:eastAsia="zh-CN"/>
        </w:rPr>
      </w:pPr>
    </w:p>
    <w:p w14:paraId="563846A0">
      <w:pPr>
        <w:pStyle w:val="33"/>
        <w:jc w:val="center"/>
        <w:rPr>
          <w:rFonts w:hint="eastAsia" w:ascii="宋体" w:hAnsi="宋体" w:eastAsia="宋体" w:cs="宋体"/>
          <w:b/>
          <w:bCs/>
          <w:color w:val="auto"/>
          <w:sz w:val="28"/>
          <w:szCs w:val="28"/>
          <w:highlight w:val="none"/>
          <w:lang w:val="en-US" w:eastAsia="zh-CN"/>
        </w:rPr>
      </w:pPr>
    </w:p>
    <w:p w14:paraId="22ED5897">
      <w:pPr>
        <w:pStyle w:val="33"/>
        <w:jc w:val="center"/>
        <w:rPr>
          <w:rFonts w:hint="eastAsia" w:ascii="宋体" w:hAnsi="宋体" w:eastAsia="宋体" w:cs="宋体"/>
          <w:b/>
          <w:bCs/>
          <w:color w:val="auto"/>
          <w:sz w:val="28"/>
          <w:szCs w:val="28"/>
          <w:highlight w:val="none"/>
          <w:lang w:val="en-US" w:eastAsia="zh-CN"/>
        </w:rPr>
      </w:pPr>
    </w:p>
    <w:p w14:paraId="118749DD">
      <w:pPr>
        <w:pStyle w:val="33"/>
        <w:jc w:val="center"/>
        <w:rPr>
          <w:rFonts w:hint="eastAsia" w:ascii="宋体" w:hAnsi="宋体" w:eastAsia="宋体" w:cs="宋体"/>
          <w:b/>
          <w:bCs/>
          <w:color w:val="auto"/>
          <w:sz w:val="28"/>
          <w:szCs w:val="28"/>
          <w:highlight w:val="none"/>
          <w:lang w:val="en-US" w:eastAsia="zh-CN"/>
        </w:rPr>
      </w:pPr>
    </w:p>
    <w:p w14:paraId="608E972F">
      <w:pPr>
        <w:pStyle w:val="33"/>
        <w:jc w:val="center"/>
        <w:rPr>
          <w:rFonts w:hint="eastAsia" w:ascii="宋体" w:hAnsi="宋体" w:eastAsia="宋体" w:cs="宋体"/>
          <w:b/>
          <w:bCs/>
          <w:color w:val="auto"/>
          <w:sz w:val="28"/>
          <w:szCs w:val="28"/>
          <w:highlight w:val="none"/>
          <w:lang w:val="en-US" w:eastAsia="zh-CN"/>
        </w:rPr>
      </w:pPr>
    </w:p>
    <w:p w14:paraId="3F970EF5">
      <w:pPr>
        <w:pStyle w:val="33"/>
        <w:jc w:val="center"/>
        <w:rPr>
          <w:rFonts w:hint="eastAsia" w:ascii="宋体" w:hAnsi="宋体" w:eastAsia="宋体" w:cs="宋体"/>
          <w:b/>
          <w:bCs/>
          <w:color w:val="auto"/>
          <w:sz w:val="28"/>
          <w:szCs w:val="28"/>
          <w:highlight w:val="none"/>
          <w:lang w:val="en-US" w:eastAsia="zh-CN"/>
        </w:rPr>
      </w:pPr>
    </w:p>
    <w:p w14:paraId="57B018B5">
      <w:pPr>
        <w:pStyle w:val="33"/>
        <w:jc w:val="center"/>
        <w:rPr>
          <w:rFonts w:hint="eastAsia" w:ascii="宋体" w:hAnsi="宋体" w:eastAsia="宋体" w:cs="宋体"/>
          <w:b/>
          <w:bCs/>
          <w:color w:val="auto"/>
          <w:sz w:val="28"/>
          <w:szCs w:val="28"/>
          <w:highlight w:val="none"/>
          <w:lang w:val="en-US" w:eastAsia="zh-CN"/>
        </w:rPr>
      </w:pPr>
    </w:p>
    <w:p w14:paraId="65A8F7E8">
      <w:pPr>
        <w:pStyle w:val="33"/>
        <w:jc w:val="center"/>
        <w:rPr>
          <w:rFonts w:hint="eastAsia" w:ascii="宋体" w:hAnsi="宋体" w:eastAsia="宋体" w:cs="宋体"/>
          <w:b/>
          <w:bCs/>
          <w:color w:val="auto"/>
          <w:sz w:val="28"/>
          <w:szCs w:val="28"/>
          <w:highlight w:val="none"/>
          <w:lang w:val="en-US" w:eastAsia="zh-CN"/>
        </w:rPr>
      </w:pPr>
    </w:p>
    <w:p w14:paraId="0E8C267E">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5" w:name="_Toc6933"/>
      <w:r>
        <w:rPr>
          <w:rFonts w:hint="eastAsia" w:ascii="Times New Roman" w:hAnsi="Times New Roman" w:eastAsia="宋体" w:cs="Times New Roman"/>
          <w:color w:val="auto"/>
          <w:highlight w:val="none"/>
          <w:lang w:val="en-US" w:eastAsia="zh-CN"/>
        </w:rPr>
        <w:t xml:space="preserve">第五章 </w:t>
      </w:r>
      <w:bookmarkStart w:id="66" w:name="_Toc31285"/>
      <w:bookmarkStart w:id="67" w:name="_Toc25485"/>
      <w:r>
        <w:rPr>
          <w:rFonts w:hint="eastAsia" w:ascii="Times New Roman" w:hAnsi="Times New Roman" w:eastAsia="宋体" w:cs="Times New Roman"/>
          <w:color w:val="auto"/>
          <w:highlight w:val="none"/>
          <w:lang w:val="en-US" w:eastAsia="zh-CN"/>
        </w:rPr>
        <w:t>采购需求及清单</w:t>
      </w:r>
      <w:bookmarkEnd w:id="65"/>
      <w:bookmarkEnd w:id="66"/>
      <w:bookmarkEnd w:id="67"/>
    </w:p>
    <w:p w14:paraId="4807D387">
      <w:pPr>
        <w:pStyle w:val="19"/>
        <w:numPr>
          <w:ilvl w:val="0"/>
          <w:numId w:val="0"/>
        </w:numPr>
        <w:ind w:firstLine="0" w:firstLineChars="0"/>
        <w:jc w:val="center"/>
        <w:outlineLvl w:val="1"/>
        <w:rPr>
          <w:rFonts w:hint="default" w:ascii="宋体" w:hAnsi="宋体" w:cs="宋体" w:eastAsiaTheme="minorEastAsia"/>
          <w:b/>
          <w:color w:val="auto"/>
          <w:sz w:val="21"/>
          <w:szCs w:val="21"/>
          <w:highlight w:val="none"/>
          <w:lang w:val="en-US" w:eastAsia="zh-CN"/>
        </w:rPr>
      </w:pPr>
      <w:r>
        <w:rPr>
          <w:rFonts w:hint="eastAsia" w:ascii="宋体" w:hAnsi="宋体" w:cs="宋体"/>
          <w:b/>
          <w:color w:val="auto"/>
          <w:kern w:val="2"/>
          <w:sz w:val="28"/>
          <w:szCs w:val="28"/>
          <w:highlight w:val="none"/>
          <w:lang w:val="en-US" w:eastAsia="zh-CN" w:bidi="ar-SA"/>
        </w:rPr>
        <w:t>一</w:t>
      </w:r>
      <w:r>
        <w:rPr>
          <w:rFonts w:hint="eastAsia" w:ascii="宋体" w:hAnsi="宋体" w:cs="宋体" w:eastAsiaTheme="minorEastAsia"/>
          <w:b/>
          <w:color w:val="auto"/>
          <w:kern w:val="2"/>
          <w:sz w:val="28"/>
          <w:szCs w:val="28"/>
          <w:highlight w:val="none"/>
          <w:lang w:val="en-US" w:eastAsia="zh-CN" w:bidi="ar-SA"/>
        </w:rPr>
        <w:t>、</w:t>
      </w:r>
      <w:r>
        <w:rPr>
          <w:rFonts w:hint="eastAsia" w:ascii="宋体" w:hAnsi="宋体" w:cs="宋体"/>
          <w:b/>
          <w:color w:val="auto"/>
          <w:sz w:val="28"/>
          <w:szCs w:val="28"/>
          <w:highlight w:val="none"/>
          <w:lang w:val="en-US" w:eastAsia="zh-CN"/>
        </w:rPr>
        <w:t>采购要求</w:t>
      </w:r>
    </w:p>
    <w:p w14:paraId="320DB62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3D804F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2.报价含税13%，含材料费（含辅材）、运输费、装卸费、人员成本、安装费、调试费、成品保护费、缺陷修复费、深化设计费、各项实验检验费、验收费以及与货物有关的特殊要求等可能产生的所有成本和费用。</w:t>
      </w:r>
    </w:p>
    <w:p w14:paraId="4245B70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3.清单所列工程量为暂估数量，最终以实际工程量为准。</w:t>
      </w:r>
    </w:p>
    <w:p w14:paraId="5AD7B3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4.拟成交人须在采购人通知之日起3日内重新送样并经采购人确认、封样，产品生产工艺要求等参照确样标准执行，主辅材品牌需报采购人同意后方可使用</w:t>
      </w:r>
    </w:p>
    <w:p w14:paraId="2EF0732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.每个包段现场安排不少于2人专业深化人员，每批货下单后7天完成生产，货到现场后7天内完成安装。</w:t>
      </w:r>
    </w:p>
    <w:p w14:paraId="43326C67">
      <w:pP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br w:type="page"/>
      </w:r>
    </w:p>
    <w:p w14:paraId="2693B51D">
      <w:pPr>
        <w:rPr>
          <w:rFonts w:hint="eastAsia" w:ascii="宋体" w:hAnsi="宋体" w:cs="宋体"/>
          <w:color w:val="auto"/>
          <w:sz w:val="24"/>
          <w:szCs w:val="24"/>
          <w:highlight w:val="none"/>
          <w:lang w:val="en-US" w:eastAsia="zh-CN"/>
        </w:rPr>
      </w:pPr>
    </w:p>
    <w:p w14:paraId="7984E90C">
      <w:pPr>
        <w:pStyle w:val="19"/>
        <w:numPr>
          <w:ilvl w:val="0"/>
          <w:numId w:val="0"/>
        </w:numPr>
        <w:ind w:firstLine="0" w:firstLineChars="0"/>
        <w:jc w:val="center"/>
        <w:outlineLvl w:val="1"/>
        <w:rPr>
          <w:rFonts w:hint="eastAsia" w:ascii="宋体" w:hAnsi="宋体" w:cs="宋体"/>
          <w:b/>
          <w:color w:val="auto"/>
          <w:sz w:val="21"/>
          <w:szCs w:val="21"/>
          <w:highlight w:val="none"/>
        </w:rPr>
      </w:pPr>
      <w:r>
        <w:rPr>
          <w:rFonts w:hint="eastAsia" w:ascii="宋体" w:hAnsi="宋体" w:cs="宋体"/>
          <w:b/>
          <w:color w:val="auto"/>
          <w:kern w:val="2"/>
          <w:sz w:val="28"/>
          <w:szCs w:val="28"/>
          <w:highlight w:val="none"/>
          <w:lang w:val="en-US" w:eastAsia="zh-CN" w:bidi="ar-SA"/>
        </w:rPr>
        <w:t>二</w:t>
      </w:r>
      <w:r>
        <w:rPr>
          <w:rFonts w:hint="eastAsia" w:ascii="宋体" w:hAnsi="宋体" w:cs="宋体" w:eastAsiaTheme="minorEastAsia"/>
          <w:b/>
          <w:color w:val="auto"/>
          <w:kern w:val="2"/>
          <w:sz w:val="28"/>
          <w:szCs w:val="28"/>
          <w:highlight w:val="none"/>
          <w:lang w:val="en-US" w:eastAsia="zh-CN" w:bidi="ar-SA"/>
        </w:rPr>
        <w:t>、</w:t>
      </w:r>
      <w:r>
        <w:rPr>
          <w:rFonts w:hint="eastAsia" w:ascii="宋体" w:hAnsi="宋体" w:cs="宋体"/>
          <w:b/>
          <w:color w:val="auto"/>
          <w:sz w:val="28"/>
          <w:szCs w:val="28"/>
          <w:highlight w:val="none"/>
        </w:rPr>
        <w:t>材料报价清单</w:t>
      </w:r>
    </w:p>
    <w:p w14:paraId="30905CB5">
      <w:pPr>
        <w:pStyle w:val="8"/>
        <w:jc w:val="center"/>
        <w:rPr>
          <w:rFonts w:hint="eastAsia"/>
          <w:b/>
          <w:bCs/>
          <w:color w:val="auto"/>
          <w:sz w:val="21"/>
          <w:szCs w:val="24"/>
          <w:highlight w:val="none"/>
          <w:lang w:eastAsia="zh-CN"/>
        </w:rPr>
      </w:pPr>
      <w:r>
        <w:rPr>
          <w:rFonts w:hint="eastAsia"/>
          <w:b/>
          <w:bCs/>
          <w:color w:val="auto"/>
          <w:sz w:val="21"/>
          <w:szCs w:val="24"/>
          <w:highlight w:val="none"/>
          <w:lang w:eastAsia="zh-CN"/>
        </w:rPr>
        <w:t>（</w:t>
      </w:r>
      <w:r>
        <w:rPr>
          <w:rFonts w:hint="eastAsia"/>
          <w:b/>
          <w:bCs/>
          <w:color w:val="auto"/>
          <w:sz w:val="21"/>
          <w:szCs w:val="24"/>
          <w:highlight w:val="none"/>
          <w:lang w:val="en-US" w:eastAsia="zh-CN"/>
        </w:rPr>
        <w:t>详见附件采购清单</w:t>
      </w:r>
      <w:r>
        <w:rPr>
          <w:rFonts w:hint="eastAsia"/>
          <w:b/>
          <w:bCs/>
          <w:color w:val="auto"/>
          <w:sz w:val="21"/>
          <w:szCs w:val="24"/>
          <w:highlight w:val="none"/>
          <w:lang w:eastAsia="zh-CN"/>
        </w:rPr>
        <w:t>）</w:t>
      </w:r>
    </w:p>
    <w:p w14:paraId="35A357AD">
      <w:pPr>
        <w:pStyle w:val="9"/>
        <w:rPr>
          <w:rFonts w:hint="eastAsia"/>
          <w:color w:val="auto"/>
          <w:highlight w:val="none"/>
          <w:lang w:eastAsia="zh-CN"/>
        </w:rPr>
      </w:pPr>
    </w:p>
    <w:p w14:paraId="1AB1DE99">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1.上述费用包括货物的原材料、生产、包装、运输、保险、人工费、卸车费(卸货到甲方指走地点)、利润、税费等相关费用。</w:t>
      </w:r>
    </w:p>
    <w:p w14:paraId="2DF12D9B">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05400B22">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54CA65F">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3232FA7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4D7C5FCE">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须赔偿由此造成返工的全部工程建设费用及其他一切损失，同时由采购人追究</w:t>
      </w:r>
      <w:r>
        <w:rPr>
          <w:rFonts w:hint="eastAsia" w:ascii="宋体" w:hAnsi="宋体" w:cs="宋体"/>
          <w:color w:val="auto"/>
          <w:sz w:val="24"/>
          <w:szCs w:val="24"/>
          <w:highlight w:val="none"/>
          <w:lang w:eastAsia="zh-CN"/>
        </w:rPr>
        <w:t>成交人</w:t>
      </w:r>
      <w:r>
        <w:rPr>
          <w:rFonts w:hint="eastAsia" w:ascii="宋体" w:hAnsi="宋体" w:cs="宋体"/>
          <w:color w:val="auto"/>
          <w:sz w:val="24"/>
          <w:szCs w:val="24"/>
          <w:highlight w:val="none"/>
        </w:rPr>
        <w:t>的违约责任，情节严重的，依法追究相关责任。</w:t>
      </w:r>
    </w:p>
    <w:p w14:paraId="321EBE7B">
      <w:pPr>
        <w:snapToGrid w:val="0"/>
        <w:spacing w:line="400" w:lineRule="exact"/>
        <w:ind w:firstLine="480" w:firstLineChars="200"/>
        <w:jc w:val="left"/>
        <w:rPr>
          <w:rFonts w:hint="eastAsia" w:ascii="宋体" w:hAnsi="宋体" w:cs="宋体"/>
          <w:color w:val="auto"/>
          <w:sz w:val="24"/>
          <w:szCs w:val="24"/>
          <w:highlight w:val="none"/>
        </w:rPr>
      </w:pPr>
    </w:p>
    <w:p w14:paraId="2F76FBCA">
      <w:pPr>
        <w:rPr>
          <w:rFonts w:hint="eastAsia" w:ascii="Times New Roman" w:hAnsi="Times New Roman" w:eastAsia="宋体" w:cs="Times New Roman"/>
          <w:color w:val="auto"/>
          <w:highlight w:val="none"/>
          <w:lang w:val="en-US" w:eastAsia="zh-CN"/>
        </w:rPr>
      </w:pPr>
      <w:bookmarkStart w:id="68" w:name="_Toc9484"/>
      <w:r>
        <w:rPr>
          <w:rFonts w:hint="eastAsia" w:ascii="Times New Roman" w:hAnsi="Times New Roman" w:eastAsia="宋体" w:cs="Times New Roman"/>
          <w:color w:val="auto"/>
          <w:highlight w:val="none"/>
          <w:lang w:val="en-US" w:eastAsia="zh-CN"/>
        </w:rPr>
        <w:br w:type="page"/>
      </w: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8"/>
    </w:p>
    <w:p w14:paraId="00ABE563">
      <w:pPr>
        <w:rPr>
          <w:rFonts w:hint="eastAsia" w:ascii="方正小标宋简体" w:hAnsi="方正小标宋简体" w:eastAsia="方正小标宋简体" w:cs="方正小标宋简体"/>
          <w:color w:val="auto"/>
          <w:w w:val="95"/>
          <w:sz w:val="44"/>
          <w:szCs w:val="44"/>
          <w:highlight w:val="none"/>
          <w:u w:val="single"/>
          <w:lang w:val="en-US" w:eastAsia="zh-CN"/>
        </w:rPr>
      </w:pPr>
      <w:bookmarkStart w:id="69" w:name="_Toc26419"/>
      <w:r>
        <w:rPr>
          <w:rFonts w:hint="eastAsia" w:ascii="方正小标宋简体" w:hAnsi="方正小标宋简体" w:eastAsia="方正小标宋简体" w:cs="方正小标宋简体"/>
          <w:color w:val="auto"/>
          <w:w w:val="95"/>
          <w:sz w:val="44"/>
          <w:szCs w:val="44"/>
          <w:highlight w:val="none"/>
          <w:u w:val="single"/>
          <w:lang w:val="en-US" w:eastAsia="zh-CN"/>
        </w:rPr>
        <w:br w:type="page"/>
      </w:r>
    </w:p>
    <w:p w14:paraId="5C569BFB">
      <w:pPr>
        <w:jc w:val="center"/>
        <w:outlineLvl w:val="9"/>
        <w:rPr>
          <w:rFonts w:hint="default" w:ascii="Times New Roman" w:hAnsi="Times New Roman" w:eastAsia="方正小标宋简体" w:cs="Times New Roman"/>
          <w:color w:val="auto"/>
          <w:w w:val="95"/>
          <w:sz w:val="50"/>
          <w:szCs w:val="50"/>
          <w:highlight w:val="none"/>
          <w:u w:val="single"/>
          <w:lang w:val="en-US" w:eastAsia="zh-CN"/>
        </w:rPr>
      </w:pP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合肥市包河区BH202437号地块装饰不锈钢及玻璃制品采购及安装项目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70" w:name="_Toc15601"/>
      <w:bookmarkStart w:id="71" w:name="_Toc10074"/>
      <w:bookmarkStart w:id="72" w:name="_Toc26098"/>
      <w:bookmarkStart w:id="73" w:name="_Toc6480"/>
      <w:bookmarkStart w:id="74" w:name="_Toc11988"/>
      <w:bookmarkStart w:id="75" w:name="_Toc2527"/>
      <w:bookmarkStart w:id="76" w:name="_Toc11846"/>
      <w:bookmarkStart w:id="77" w:name="_Toc20091"/>
      <w:r>
        <w:rPr>
          <w:rFonts w:ascii="Times New Roman" w:hAnsi="Times New Roman" w:eastAsia="黑体" w:cs="Times New Roman"/>
          <w:color w:val="auto"/>
          <w:sz w:val="50"/>
          <w:szCs w:val="50"/>
          <w:highlight w:val="none"/>
        </w:rPr>
        <w:t>响  应  文  件</w:t>
      </w:r>
      <w:bookmarkEnd w:id="70"/>
      <w:bookmarkEnd w:id="71"/>
      <w:bookmarkEnd w:id="72"/>
      <w:bookmarkEnd w:id="73"/>
      <w:bookmarkEnd w:id="74"/>
      <w:bookmarkEnd w:id="75"/>
      <w:bookmarkEnd w:id="76"/>
      <w:bookmarkEnd w:id="77"/>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8" w:name="_Toc25232_WPSOffice_Level2"/>
      <w:bookmarkStart w:id="79"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8"/>
      <w:bookmarkEnd w:id="79"/>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80" w:name="_Toc20076_WPSOffice_Level2"/>
      <w:bookmarkStart w:id="81" w:name="_Toc31577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80"/>
      <w:bookmarkEnd w:id="81"/>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82" w:name="_Toc11330"/>
      <w:bookmarkStart w:id="83" w:name="_Toc21704"/>
      <w:bookmarkStart w:id="84" w:name="_Toc32504"/>
      <w:bookmarkStart w:id="85" w:name="_Toc888"/>
      <w:bookmarkStart w:id="86" w:name="_Toc24654"/>
      <w:bookmarkStart w:id="87" w:name="_Toc25724"/>
      <w:bookmarkStart w:id="88" w:name="_Toc1219"/>
      <w:bookmarkStart w:id="89" w:name="_Toc2795"/>
      <w:r>
        <w:rPr>
          <w:rFonts w:hint="eastAsia" w:ascii="黑体" w:hAnsi="黑体" w:eastAsia="黑体" w:cs="黑体"/>
          <w:b/>
          <w:bCs/>
          <w:color w:val="auto"/>
          <w:sz w:val="28"/>
          <w:szCs w:val="28"/>
          <w:highlight w:val="none"/>
        </w:rPr>
        <w:t>一、响应函（不含报价）</w:t>
      </w:r>
      <w:bookmarkEnd w:id="69"/>
      <w:bookmarkEnd w:id="82"/>
      <w:bookmarkEnd w:id="83"/>
      <w:bookmarkEnd w:id="84"/>
      <w:bookmarkEnd w:id="85"/>
      <w:bookmarkEnd w:id="86"/>
      <w:bookmarkEnd w:id="87"/>
      <w:bookmarkEnd w:id="88"/>
      <w:bookmarkEnd w:id="89"/>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合肥市包河区BH202437号地块装饰不锈钢及玻璃制品采购及安装项目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3.材料质量：响应采购文件要求；交货期：响应采购文件要求。</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w:t>
      </w:r>
      <w:r>
        <w:rPr>
          <w:rFonts w:hint="eastAsia"/>
          <w:color w:val="auto"/>
          <w:sz w:val="24"/>
          <w:szCs w:val="24"/>
          <w:highlight w:val="none"/>
          <w:lang w:val="en-US" w:eastAsia="zh-CN"/>
        </w:rPr>
        <w:t>响应</w:t>
      </w:r>
      <w:r>
        <w:rPr>
          <w:rFonts w:hint="eastAsia"/>
          <w:color w:val="auto"/>
          <w:sz w:val="24"/>
          <w:szCs w:val="24"/>
          <w:highlight w:val="none"/>
        </w:rPr>
        <w:t>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9"/>
        <w:spacing w:beforeLines="0" w:afterLines="0"/>
        <w:rPr>
          <w:rFonts w:hint="eastAsia"/>
          <w:color w:val="auto"/>
          <w:sz w:val="18"/>
          <w:szCs w:val="24"/>
          <w:highlight w:val="none"/>
        </w:rPr>
      </w:pPr>
    </w:p>
    <w:p w14:paraId="4368A36F">
      <w:pPr>
        <w:pStyle w:val="10"/>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90" w:name="_Hlk122530524"/>
      <w:r>
        <w:rPr>
          <w:rFonts w:hint="eastAsia" w:ascii="宋体" w:hAnsi="宋体" w:cs="宋体"/>
          <w:color w:val="auto"/>
          <w:sz w:val="24"/>
          <w:szCs w:val="24"/>
          <w:highlight w:val="none"/>
          <w:u w:val="single"/>
        </w:rPr>
        <w:t xml:space="preserve">                         </w:t>
      </w:r>
      <w:bookmarkEnd w:id="90"/>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480F58D">
      <w:pPr>
        <w:rPr>
          <w:rFonts w:hint="eastAsia" w:ascii="黑体" w:hAnsi="宋体" w:eastAsia="黑体" w:cs="黑体"/>
          <w:b w:val="0"/>
          <w:bCs w:val="0"/>
          <w:color w:val="auto"/>
          <w:kern w:val="2"/>
          <w:sz w:val="28"/>
          <w:szCs w:val="28"/>
          <w:highlight w:val="none"/>
          <w:lang w:val="en-US" w:eastAsia="zh-CN" w:bidi="ar"/>
        </w:rPr>
      </w:pPr>
      <w:bookmarkStart w:id="91" w:name="_Toc21398"/>
      <w:bookmarkStart w:id="92" w:name="_Toc28024"/>
      <w:bookmarkStart w:id="93" w:name="_Toc10497"/>
      <w:bookmarkStart w:id="94" w:name="_Toc23511"/>
      <w:bookmarkStart w:id="95" w:name="_Toc23378"/>
      <w:bookmarkStart w:id="96" w:name="_Toc16965"/>
      <w:bookmarkStart w:id="97" w:name="_Toc5068"/>
      <w:bookmarkStart w:id="98" w:name="_Toc28522"/>
      <w:r>
        <w:rPr>
          <w:rFonts w:hint="eastAsia" w:ascii="黑体" w:hAnsi="宋体" w:eastAsia="黑体" w:cs="黑体"/>
          <w:b w:val="0"/>
          <w:bCs w:val="0"/>
          <w:color w:val="auto"/>
          <w:kern w:val="2"/>
          <w:sz w:val="28"/>
          <w:szCs w:val="28"/>
          <w:highlight w:val="none"/>
          <w:lang w:val="en-US" w:eastAsia="zh-CN" w:bidi="ar"/>
        </w:rPr>
        <w:br w:type="page"/>
      </w:r>
    </w:p>
    <w:p w14:paraId="0C53FF84">
      <w:pPr>
        <w:pStyle w:val="2"/>
        <w:numPr>
          <w:ilvl w:val="0"/>
          <w:numId w:val="0"/>
        </w:numPr>
        <w:rPr>
          <w:rFonts w:hint="default" w:ascii="黑体" w:hAnsi="黑体" w:eastAsia="黑体" w:cs="黑体"/>
          <w:b w:val="0"/>
          <w:bCs w:val="0"/>
          <w:color w:val="auto"/>
          <w:sz w:val="28"/>
          <w:szCs w:val="28"/>
          <w:highlight w:val="none"/>
        </w:rPr>
      </w:pPr>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91"/>
      <w:bookmarkEnd w:id="92"/>
      <w:bookmarkEnd w:id="93"/>
      <w:bookmarkEnd w:id="94"/>
      <w:bookmarkEnd w:id="95"/>
      <w:bookmarkEnd w:id="96"/>
      <w:bookmarkEnd w:id="97"/>
      <w:bookmarkEnd w:id="98"/>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合肥市包河区BH202437号地块装饰不锈钢及玻璃制品采购及安装项目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403567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7F2A01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响应活动并签署文件的不需要授权委托书，只需提供法定代表人（单位负责人）身份证明；非法定代表人（单位负责人）参加响应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529A3590">
      <w:pPr>
        <w:rPr>
          <w:rFonts w:hint="default" w:ascii="Times New Roman" w:hAnsi="Times New Roman" w:eastAsia="黑体" w:cs="Times New Roman"/>
          <w:color w:val="auto"/>
          <w:kern w:val="2"/>
          <w:sz w:val="24"/>
          <w:szCs w:val="24"/>
          <w:highlight w:val="none"/>
        </w:rPr>
        <w:sectPr>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99" w:name="_Toc28296"/>
      <w:bookmarkStart w:id="100" w:name="_Toc24785"/>
      <w:bookmarkStart w:id="101" w:name="_Toc30116"/>
      <w:bookmarkStart w:id="102" w:name="_Toc19890"/>
      <w:bookmarkStart w:id="103" w:name="_Toc26457"/>
      <w:bookmarkStart w:id="104" w:name="_Toc23112"/>
      <w:bookmarkStart w:id="105" w:name="_Toc16245"/>
      <w:bookmarkStart w:id="106" w:name="_Toc2224"/>
      <w:bookmarkStart w:id="107" w:name="_Toc23593"/>
      <w:r>
        <w:rPr>
          <w:rFonts w:hint="eastAsia" w:ascii="黑体" w:hAnsi="宋体" w:eastAsia="黑体" w:cs="黑体"/>
          <w:color w:val="auto"/>
          <w:kern w:val="2"/>
          <w:sz w:val="28"/>
          <w:szCs w:val="28"/>
          <w:highlight w:val="none"/>
          <w:lang w:val="en-US" w:eastAsia="zh-CN" w:bidi="ar"/>
        </w:rPr>
        <w:t>三、供应商基本情况</w:t>
      </w:r>
      <w:bookmarkEnd w:id="99"/>
      <w:bookmarkEnd w:id="100"/>
      <w:bookmarkEnd w:id="101"/>
      <w:bookmarkEnd w:id="102"/>
      <w:bookmarkEnd w:id="103"/>
      <w:bookmarkEnd w:id="104"/>
      <w:bookmarkEnd w:id="105"/>
      <w:bookmarkEnd w:id="106"/>
      <w:bookmarkEnd w:id="107"/>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108" w:name="_Toc7483"/>
      <w:bookmarkStart w:id="109" w:name="_Toc17884"/>
      <w:bookmarkStart w:id="110" w:name="_Toc9989"/>
      <w:bookmarkStart w:id="111" w:name="_Toc5395"/>
      <w:bookmarkStart w:id="112" w:name="_Toc22190"/>
      <w:bookmarkStart w:id="113" w:name="_Toc12834"/>
      <w:bookmarkStart w:id="114" w:name="_Toc22364"/>
      <w:bookmarkStart w:id="115" w:name="_Toc31962"/>
      <w:bookmarkStart w:id="116" w:name="_Toc28901"/>
      <w:r>
        <w:rPr>
          <w:rFonts w:hint="eastAsia" w:ascii="黑体" w:hAnsi="宋体" w:eastAsia="黑体" w:cs="黑体"/>
          <w:color w:val="auto"/>
          <w:kern w:val="2"/>
          <w:sz w:val="28"/>
          <w:szCs w:val="28"/>
          <w:highlight w:val="none"/>
          <w:lang w:val="en-US" w:eastAsia="zh-CN" w:bidi="ar"/>
        </w:rPr>
        <w:t>四、近年类似业绩情况</w:t>
      </w:r>
      <w:bookmarkEnd w:id="108"/>
      <w:bookmarkEnd w:id="109"/>
      <w:bookmarkEnd w:id="110"/>
      <w:bookmarkEnd w:id="111"/>
      <w:bookmarkEnd w:id="112"/>
      <w:bookmarkEnd w:id="113"/>
      <w:bookmarkEnd w:id="114"/>
      <w:bookmarkEnd w:id="115"/>
      <w:bookmarkEnd w:id="116"/>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17" w:name="_Toc6439"/>
      <w:bookmarkStart w:id="118" w:name="_Toc29607"/>
      <w:bookmarkStart w:id="119" w:name="_Toc23165"/>
      <w:bookmarkStart w:id="120" w:name="_Toc14517"/>
      <w:bookmarkStart w:id="121" w:name="_Toc27124"/>
      <w:bookmarkStart w:id="122" w:name="_Toc165"/>
      <w:bookmarkStart w:id="123" w:name="_Toc24647"/>
      <w:bookmarkStart w:id="124" w:name="_Toc21498"/>
      <w:bookmarkStart w:id="125" w:name="_Toc22722"/>
      <w:r>
        <w:rPr>
          <w:rFonts w:hint="eastAsia" w:ascii="黑体" w:hAnsi="宋体" w:eastAsia="黑体" w:cs="黑体"/>
          <w:color w:val="auto"/>
          <w:kern w:val="2"/>
          <w:sz w:val="28"/>
          <w:szCs w:val="28"/>
          <w:highlight w:val="none"/>
          <w:lang w:val="en-US" w:eastAsia="zh-CN" w:bidi="ar"/>
        </w:rPr>
        <w:t>五、信誉情况</w:t>
      </w:r>
      <w:bookmarkEnd w:id="117"/>
      <w:bookmarkEnd w:id="118"/>
      <w:bookmarkEnd w:id="119"/>
      <w:bookmarkEnd w:id="120"/>
      <w:bookmarkEnd w:id="121"/>
      <w:bookmarkEnd w:id="122"/>
      <w:bookmarkEnd w:id="123"/>
      <w:bookmarkEnd w:id="124"/>
      <w:bookmarkEnd w:id="125"/>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126" w:name="_Toc24578"/>
      <w:bookmarkStart w:id="127" w:name="_Toc28465"/>
      <w:bookmarkStart w:id="128" w:name="_Toc29972"/>
      <w:bookmarkStart w:id="129" w:name="_Toc11349"/>
      <w:bookmarkStart w:id="130" w:name="_Toc15048"/>
      <w:bookmarkStart w:id="131" w:name="_Toc10389"/>
      <w:bookmarkStart w:id="132" w:name="_Toc22954"/>
      <w:bookmarkStart w:id="133" w:name="_Toc22047"/>
      <w:bookmarkStart w:id="134" w:name="_Toc1569"/>
      <w:r>
        <w:rPr>
          <w:rFonts w:hint="eastAsia" w:ascii="黑体" w:hAnsi="宋体" w:eastAsia="黑体" w:cs="黑体"/>
          <w:color w:val="auto"/>
          <w:kern w:val="2"/>
          <w:sz w:val="28"/>
          <w:szCs w:val="28"/>
          <w:highlight w:val="none"/>
          <w:lang w:val="en-US" w:eastAsia="zh-CN" w:bidi="ar"/>
        </w:rPr>
        <w:t>六、企业实力</w:t>
      </w:r>
      <w:bookmarkEnd w:id="126"/>
      <w:bookmarkEnd w:id="127"/>
      <w:bookmarkEnd w:id="128"/>
      <w:bookmarkEnd w:id="129"/>
      <w:bookmarkEnd w:id="130"/>
      <w:bookmarkEnd w:id="131"/>
      <w:bookmarkEnd w:id="132"/>
      <w:bookmarkEnd w:id="133"/>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须提供响应产品生产加工厂的相关资料，包括但不限于工厂具体定位（百度地图定位截图）、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bookmarkEnd w:id="134"/>
    <w:p w14:paraId="68F94DB8">
      <w:pPr>
        <w:rPr>
          <w:rFonts w:hint="eastAsia" w:ascii="Times New Roman" w:hAnsi="Times New Roman" w:eastAsia="黑体"/>
          <w:color w:val="auto"/>
          <w:sz w:val="28"/>
          <w:szCs w:val="28"/>
          <w:highlight w:val="none"/>
          <w:lang w:val="en-US" w:eastAsia="zh-CN"/>
        </w:rPr>
      </w:pPr>
      <w:bookmarkStart w:id="135" w:name="_Toc31378"/>
      <w:bookmarkStart w:id="136" w:name="_Toc5689"/>
      <w:bookmarkStart w:id="137" w:name="_Toc27742"/>
      <w:bookmarkStart w:id="138" w:name="_Toc22943"/>
      <w:bookmarkStart w:id="139" w:name="_Toc3549"/>
      <w:bookmarkStart w:id="140" w:name="_Toc32620"/>
      <w:bookmarkStart w:id="141" w:name="_Toc28805"/>
      <w:bookmarkStart w:id="142" w:name="_Toc16215"/>
      <w:bookmarkStart w:id="143" w:name="_Toc7941"/>
      <w:r>
        <w:rPr>
          <w:rFonts w:hint="eastAsia" w:ascii="Times New Roman" w:hAnsi="Times New Roman" w:eastAsia="黑体"/>
          <w:color w:val="auto"/>
          <w:sz w:val="28"/>
          <w:szCs w:val="28"/>
          <w:highlight w:val="none"/>
          <w:lang w:val="en-US" w:eastAsia="zh-CN"/>
        </w:rPr>
        <w:br w:type="page"/>
      </w:r>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r>
        <w:rPr>
          <w:rFonts w:hint="eastAsia" w:ascii="Times New Roman" w:hAnsi="Times New Roman" w:eastAsia="黑体"/>
          <w:color w:val="auto"/>
          <w:sz w:val="28"/>
          <w:szCs w:val="28"/>
          <w:highlight w:val="none"/>
          <w:lang w:val="en-US" w:eastAsia="zh-CN"/>
        </w:rPr>
        <w:t>七</w:t>
      </w:r>
      <w:r>
        <w:rPr>
          <w:rFonts w:hint="eastAsia" w:ascii="Times New Roman" w:hAnsi="Times New Roman" w:eastAsia="黑体"/>
          <w:color w:val="auto"/>
          <w:sz w:val="28"/>
          <w:szCs w:val="28"/>
          <w:highlight w:val="none"/>
        </w:rPr>
        <w:t>、</w:t>
      </w:r>
      <w:bookmarkEnd w:id="135"/>
      <w:r>
        <w:rPr>
          <w:rFonts w:hint="eastAsia" w:ascii="Times New Roman" w:hAnsi="Times New Roman" w:eastAsia="黑体"/>
          <w:color w:val="auto"/>
          <w:sz w:val="28"/>
          <w:szCs w:val="28"/>
          <w:highlight w:val="none"/>
          <w:lang w:val="en-US" w:eastAsia="zh-CN"/>
        </w:rPr>
        <w:t>供货方案</w:t>
      </w:r>
      <w:bookmarkEnd w:id="136"/>
      <w:bookmarkEnd w:id="137"/>
      <w:bookmarkEnd w:id="138"/>
      <w:bookmarkEnd w:id="139"/>
      <w:bookmarkEnd w:id="140"/>
      <w:bookmarkEnd w:id="141"/>
      <w:bookmarkEnd w:id="142"/>
    </w:p>
    <w:p w14:paraId="1E84018A">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44" w:name="_Toc16936"/>
      <w:bookmarkStart w:id="145" w:name="_Toc18620"/>
      <w:bookmarkStart w:id="146" w:name="_Toc15543"/>
      <w:bookmarkStart w:id="147" w:name="_Toc10923"/>
      <w:bookmarkStart w:id="148" w:name="_Toc3565"/>
      <w:bookmarkStart w:id="149" w:name="_Toc4217"/>
      <w:bookmarkStart w:id="150" w:name="_Toc7901"/>
      <w:bookmarkStart w:id="151" w:name="_Toc695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44"/>
      <w:bookmarkEnd w:id="145"/>
      <w:bookmarkEnd w:id="146"/>
      <w:bookmarkEnd w:id="147"/>
      <w:bookmarkEnd w:id="148"/>
      <w:bookmarkEnd w:id="149"/>
      <w:bookmarkEnd w:id="150"/>
      <w:bookmarkEnd w:id="151"/>
    </w:p>
    <w:bookmarkEnd w:id="143"/>
    <w:p w14:paraId="3CBA3AFC">
      <w:pPr>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br w:type="page"/>
      </w: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bookmarkStart w:id="152" w:name="_Toc8048"/>
      <w:bookmarkStart w:id="153" w:name="_Toc9218"/>
      <w:bookmarkStart w:id="154" w:name="_Toc3896"/>
      <w:bookmarkStart w:id="155" w:name="_Toc11806"/>
      <w:bookmarkStart w:id="156" w:name="_Toc31164"/>
      <w:bookmarkStart w:id="157" w:name="_Toc26159"/>
      <w:bookmarkStart w:id="158" w:name="_Toc15049"/>
      <w:bookmarkStart w:id="159" w:name="_Toc28647"/>
      <w:bookmarkStart w:id="160" w:name="_Toc30485"/>
      <w:r>
        <w:rPr>
          <w:rFonts w:hint="eastAsia" w:ascii="Times New Roman" w:hAnsi="Times New Roman" w:eastAsia="黑体" w:cs="Times New Roman"/>
          <w:color w:val="auto"/>
          <w:kern w:val="2"/>
          <w:sz w:val="28"/>
          <w:szCs w:val="28"/>
          <w:highlight w:val="none"/>
          <w:lang w:val="en-US" w:eastAsia="zh-CN" w:bidi="ar"/>
        </w:rPr>
        <w:t>八</w:t>
      </w:r>
      <w:r>
        <w:rPr>
          <w:rFonts w:hint="eastAsia" w:ascii="Times New Roman" w:hAnsi="Times New Roman" w:eastAsia="黑体"/>
          <w:color w:val="auto"/>
          <w:sz w:val="28"/>
          <w:szCs w:val="28"/>
          <w:highlight w:val="none"/>
        </w:rPr>
        <w:t>、</w:t>
      </w:r>
      <w:bookmarkEnd w:id="152"/>
      <w:r>
        <w:rPr>
          <w:rFonts w:hint="eastAsia" w:ascii="Times New Roman" w:hAnsi="Times New Roman" w:eastAsia="黑体"/>
          <w:color w:val="auto"/>
          <w:sz w:val="28"/>
          <w:szCs w:val="28"/>
          <w:highlight w:val="none"/>
          <w:lang w:val="en-US" w:eastAsia="zh-CN"/>
        </w:rPr>
        <w:t>售后服务方案</w:t>
      </w:r>
      <w:bookmarkEnd w:id="153"/>
      <w:bookmarkEnd w:id="154"/>
      <w:bookmarkEnd w:id="155"/>
      <w:bookmarkEnd w:id="156"/>
      <w:bookmarkEnd w:id="157"/>
      <w:bookmarkEnd w:id="158"/>
      <w:bookmarkEnd w:id="159"/>
    </w:p>
    <w:p w14:paraId="4FCD2670">
      <w:pPr>
        <w:keepNext w:val="0"/>
        <w:keepLines w:val="0"/>
        <w:widowControl w:val="0"/>
        <w:suppressLineNumbers w:val="0"/>
        <w:spacing w:before="0" w:beforeAutospacing="0" w:after="0" w:afterAutospacing="0" w:line="440" w:lineRule="exact"/>
        <w:ind w:left="0" w:right="0"/>
        <w:jc w:val="center"/>
        <w:outlineLvl w:val="9"/>
        <w:rPr>
          <w:rFonts w:hint="default" w:ascii="Times New Roman" w:hAnsi="Times New Roman"/>
          <w:color w:val="auto"/>
          <w:sz w:val="24"/>
          <w:szCs w:val="24"/>
          <w:highlight w:val="none"/>
          <w:lang w:bidi="ar"/>
        </w:rPr>
      </w:pPr>
      <w:bookmarkStart w:id="161" w:name="_Toc9931"/>
      <w:bookmarkStart w:id="162" w:name="_Toc7405"/>
      <w:bookmarkStart w:id="163" w:name="_Toc25621"/>
      <w:bookmarkStart w:id="164" w:name="_Toc7980"/>
      <w:bookmarkStart w:id="165" w:name="_Toc29460"/>
      <w:bookmarkStart w:id="166" w:name="_Toc6095"/>
      <w:bookmarkStart w:id="167" w:name="_Toc11461"/>
      <w:bookmarkStart w:id="168" w:name="_Toc30922"/>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61"/>
      <w:bookmarkEnd w:id="162"/>
      <w:bookmarkEnd w:id="163"/>
      <w:bookmarkEnd w:id="164"/>
      <w:bookmarkEnd w:id="165"/>
      <w:bookmarkEnd w:id="166"/>
      <w:bookmarkEnd w:id="167"/>
      <w:bookmarkEnd w:id="168"/>
    </w:p>
    <w:p w14:paraId="6EB849C4">
      <w:pPr>
        <w:rPr>
          <w:rFonts w:hint="eastAsia" w:ascii="黑体" w:hAnsi="宋体" w:eastAsia="黑体" w:cs="黑体"/>
          <w:color w:val="auto"/>
          <w:kern w:val="2"/>
          <w:sz w:val="28"/>
          <w:szCs w:val="28"/>
          <w:highlight w:val="none"/>
          <w:lang w:val="en-US" w:eastAsia="zh-CN" w:bidi="ar"/>
        </w:rPr>
      </w:pPr>
      <w:bookmarkStart w:id="169" w:name="_Toc15284"/>
      <w:bookmarkStart w:id="170" w:name="_Toc14186"/>
      <w:bookmarkStart w:id="171" w:name="_Toc11900"/>
      <w:bookmarkStart w:id="172" w:name="_Toc22621"/>
      <w:bookmarkStart w:id="173" w:name="_Toc29067"/>
      <w:bookmarkStart w:id="174" w:name="_Toc31636"/>
      <w:bookmarkStart w:id="175" w:name="_Toc16480"/>
      <w:bookmarkStart w:id="176" w:name="_Toc24671"/>
      <w:r>
        <w:rPr>
          <w:rFonts w:hint="eastAsia" w:ascii="黑体" w:hAnsi="宋体" w:eastAsia="黑体" w:cs="黑体"/>
          <w:color w:val="auto"/>
          <w:kern w:val="2"/>
          <w:sz w:val="28"/>
          <w:szCs w:val="28"/>
          <w:highlight w:val="none"/>
          <w:lang w:val="en-US" w:eastAsia="zh-CN" w:bidi="ar"/>
        </w:rPr>
        <w:br w:type="page"/>
      </w: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r>
        <w:rPr>
          <w:rFonts w:hint="eastAsia" w:ascii="黑体" w:hAnsi="宋体" w:eastAsia="黑体" w:cs="黑体"/>
          <w:color w:val="auto"/>
          <w:kern w:val="2"/>
          <w:sz w:val="28"/>
          <w:szCs w:val="28"/>
          <w:highlight w:val="none"/>
          <w:lang w:val="en-US" w:eastAsia="zh-CN" w:bidi="ar"/>
        </w:rPr>
        <w:t>九、承诺书</w:t>
      </w:r>
      <w:bookmarkEnd w:id="160"/>
      <w:bookmarkEnd w:id="169"/>
      <w:bookmarkEnd w:id="170"/>
      <w:bookmarkEnd w:id="171"/>
      <w:bookmarkEnd w:id="172"/>
      <w:bookmarkEnd w:id="173"/>
      <w:bookmarkEnd w:id="174"/>
      <w:bookmarkEnd w:id="175"/>
      <w:bookmarkEnd w:id="176"/>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lang w:val="en-US" w:eastAsia="zh-CN" w:bidi="ar"/>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合肥市包河区BH202437号地块装饰不锈钢及玻璃制品采购及安装项目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3079E29">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77" w:name="_Toc10955"/>
      <w:bookmarkStart w:id="178" w:name="_Toc3055"/>
      <w:bookmarkStart w:id="179" w:name="_Toc31058"/>
      <w:bookmarkStart w:id="180" w:name="_Toc2975"/>
      <w:bookmarkStart w:id="181" w:name="_Toc30685"/>
      <w:bookmarkStart w:id="182" w:name="_Toc11711"/>
      <w:bookmarkStart w:id="183" w:name="_Toc10121"/>
      <w:bookmarkStart w:id="184" w:name="_Toc18523"/>
      <w:bookmarkStart w:id="185" w:name="_Toc30427"/>
      <w:r>
        <w:rPr>
          <w:rFonts w:hint="eastAsia" w:ascii="黑体" w:hAnsi="宋体" w:eastAsia="黑体" w:cs="黑体"/>
          <w:color w:val="auto"/>
          <w:kern w:val="2"/>
          <w:sz w:val="28"/>
          <w:szCs w:val="28"/>
          <w:highlight w:val="none"/>
          <w:lang w:val="en-US" w:eastAsia="zh-CN" w:bidi="ar"/>
        </w:rPr>
        <w:t>十、其他材料</w:t>
      </w:r>
      <w:bookmarkEnd w:id="177"/>
      <w:bookmarkEnd w:id="178"/>
      <w:bookmarkEnd w:id="179"/>
      <w:bookmarkEnd w:id="180"/>
      <w:bookmarkEnd w:id="181"/>
      <w:bookmarkEnd w:id="182"/>
      <w:bookmarkEnd w:id="183"/>
      <w:bookmarkEnd w:id="184"/>
      <w:bookmarkEnd w:id="185"/>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2AAFFD7E">
      <w:pPr>
        <w:rPr>
          <w:rFonts w:ascii="Times New Roman" w:hAnsi="Times New Roman" w:cs="Times New Roman"/>
          <w:color w:val="auto"/>
          <w:sz w:val="24"/>
          <w:szCs w:val="28"/>
          <w:highlight w:val="none"/>
        </w:rPr>
      </w:pPr>
      <w:r>
        <w:rPr>
          <w:rFonts w:ascii="Times New Roman" w:hAnsi="Times New Roman" w:cs="Times New Roman"/>
          <w:color w:val="auto"/>
          <w:sz w:val="24"/>
          <w:szCs w:val="28"/>
          <w:highlight w:val="none"/>
        </w:rPr>
        <w:br w:type="page"/>
      </w:r>
    </w:p>
    <w:p w14:paraId="230F414E">
      <w:pPr>
        <w:spacing w:line="400" w:lineRule="atLeast"/>
        <w:jc w:val="left"/>
        <w:rPr>
          <w:rFonts w:ascii="Times New Roman" w:hAnsi="Times New Roman" w:cs="Times New Roman"/>
          <w:color w:val="auto"/>
          <w:sz w:val="24"/>
          <w:szCs w:val="28"/>
          <w:highlight w:val="none"/>
        </w:rPr>
      </w:pPr>
    </w:p>
    <w:p w14:paraId="26618A24">
      <w:pPr>
        <w:spacing w:line="440" w:lineRule="exact"/>
        <w:jc w:val="center"/>
        <w:rPr>
          <w:rFonts w:hint="eastAsia" w:ascii="方正小标宋简体" w:hAnsi="方正小标宋简体" w:eastAsia="方正小标宋简体" w:cs="方正小标宋简体"/>
          <w:color w:val="auto"/>
          <w:sz w:val="44"/>
          <w:szCs w:val="44"/>
          <w:highlight w:val="none"/>
          <w:u w:val="single"/>
          <w:lang w:val="en-US" w:eastAsia="zh-CN"/>
        </w:rPr>
      </w:pPr>
    </w:p>
    <w:p w14:paraId="5DFD74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黑体" w:cs="Times New Roman"/>
          <w:color w:val="auto"/>
          <w:w w:val="95"/>
          <w:kern w:val="2"/>
          <w:sz w:val="50"/>
          <w:szCs w:val="50"/>
          <w:highlight w:val="none"/>
        </w:rPr>
      </w:pPr>
      <w:r>
        <w:rPr>
          <w:rFonts w:hint="eastAsia" w:ascii="方正小标宋简体" w:hAnsi="方正小标宋简体" w:eastAsia="方正小标宋简体" w:cs="方正小标宋简体"/>
          <w:color w:val="auto"/>
          <w:w w:val="95"/>
          <w:kern w:val="2"/>
          <w:sz w:val="44"/>
          <w:szCs w:val="44"/>
          <w:highlight w:val="none"/>
          <w:u w:val="single"/>
          <w:lang w:val="en-US" w:eastAsia="zh-CN" w:bidi="ar"/>
        </w:rPr>
        <w:t>合肥市包河区BH202437号地块装饰不锈钢及玻璃制品采购及安装项目</w:t>
      </w:r>
      <w:r>
        <w:rPr>
          <w:rFonts w:hint="eastAsia" w:ascii="方正小标宋简体" w:hAnsi="方正小标宋简体" w:eastAsia="方正小标宋简体" w:cs="方正小标宋简体"/>
          <w:color w:val="auto"/>
          <w:w w:val="95"/>
          <w:sz w:val="44"/>
          <w:szCs w:val="44"/>
          <w:highlight w:val="none"/>
          <w:u w:val="single"/>
          <w:lang w:val="en-US" w:eastAsia="zh-CN"/>
        </w:rPr>
        <w:t xml:space="preserve">   </w:t>
      </w:r>
      <w:r>
        <w:rPr>
          <w:rFonts w:hint="eastAsia" w:ascii="方正小标宋简体" w:hAnsi="方正小标宋简体" w:eastAsia="方正小标宋简体" w:cs="方正小标宋简体"/>
          <w:color w:val="auto"/>
          <w:w w:val="95"/>
          <w:sz w:val="44"/>
          <w:szCs w:val="44"/>
          <w:highlight w:val="none"/>
        </w:rPr>
        <w:t>(</w:t>
      </w:r>
      <w:r>
        <w:rPr>
          <w:rFonts w:hint="eastAsia" w:ascii="方正小标宋简体" w:hAnsi="方正小标宋简体" w:eastAsia="方正小标宋简体" w:cs="方正小标宋简体"/>
          <w:color w:val="auto"/>
          <w:w w:val="95"/>
          <w:sz w:val="44"/>
          <w:szCs w:val="44"/>
          <w:highlight w:val="none"/>
          <w:lang w:val="en-US" w:eastAsia="zh-CN"/>
        </w:rPr>
        <w:t>包段</w:t>
      </w:r>
      <w:r>
        <w:rPr>
          <w:rFonts w:hint="eastAsia" w:ascii="方正小标宋简体" w:hAnsi="方正小标宋简体" w:eastAsia="方正小标宋简体" w:cs="方正小标宋简体"/>
          <w:color w:val="auto"/>
          <w:w w:val="95"/>
          <w:sz w:val="44"/>
          <w:szCs w:val="44"/>
          <w:highlight w:val="none"/>
        </w:rPr>
        <w:t>)</w:t>
      </w:r>
    </w:p>
    <w:p w14:paraId="1C48DF2D">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Times New Roman" w:hAnsi="Times New Roman" w:eastAsia="黑体" w:cs="Times New Roman"/>
          <w:color w:val="auto"/>
          <w:sz w:val="50"/>
          <w:szCs w:val="50"/>
          <w:highlight w:val="none"/>
        </w:rPr>
      </w:pPr>
    </w:p>
    <w:p w14:paraId="14CF78B8">
      <w:pPr>
        <w:jc w:val="both"/>
        <w:outlineLvl w:val="9"/>
        <w:rPr>
          <w:rFonts w:ascii="Times New Roman" w:hAnsi="Times New Roman" w:eastAsia="黑体" w:cs="Times New Roman"/>
          <w:color w:val="auto"/>
          <w:sz w:val="50"/>
          <w:szCs w:val="50"/>
          <w:highlight w:val="none"/>
        </w:rPr>
      </w:pP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86" w:name="_Toc10029"/>
      <w:bookmarkStart w:id="187" w:name="_Toc2786"/>
      <w:bookmarkStart w:id="188" w:name="_Toc23972"/>
      <w:bookmarkStart w:id="189" w:name="_Toc24213"/>
      <w:bookmarkStart w:id="190" w:name="_Toc21076"/>
      <w:bookmarkStart w:id="191" w:name="_Toc4837"/>
      <w:bookmarkStart w:id="192" w:name="_Toc28949"/>
      <w:bookmarkStart w:id="193" w:name="_Toc977"/>
      <w:bookmarkStart w:id="194" w:name="_Toc10608"/>
      <w:r>
        <w:rPr>
          <w:rFonts w:ascii="Times New Roman" w:hAnsi="Times New Roman" w:eastAsia="黑体" w:cs="Times New Roman"/>
          <w:color w:val="auto"/>
          <w:sz w:val="50"/>
          <w:szCs w:val="50"/>
          <w:highlight w:val="none"/>
        </w:rPr>
        <w:t>响  应  文  件</w:t>
      </w:r>
      <w:bookmarkEnd w:id="186"/>
      <w:bookmarkEnd w:id="187"/>
      <w:bookmarkEnd w:id="188"/>
      <w:bookmarkEnd w:id="189"/>
      <w:bookmarkEnd w:id="190"/>
      <w:bookmarkEnd w:id="191"/>
      <w:bookmarkEnd w:id="192"/>
      <w:bookmarkEnd w:id="193"/>
      <w:bookmarkEnd w:id="194"/>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95" w:name="_Toc18312_WPSOffice_Level1"/>
      <w:bookmarkStart w:id="196" w:name="_Toc2765_WPSOffice_Level1"/>
      <w:bookmarkStart w:id="197" w:name="_Toc30031_WPSOffice_Level1"/>
      <w:bookmarkStart w:id="198" w:name="_Toc29968"/>
      <w:bookmarkStart w:id="199" w:name="_Toc1687_WPSOffice_Level1"/>
      <w:bookmarkStart w:id="200" w:name="_Toc1924"/>
      <w:bookmarkStart w:id="201" w:name="_Toc11805_WPSOffice_Level1"/>
      <w:bookmarkStart w:id="202" w:name="_Toc8703"/>
      <w:bookmarkStart w:id="203" w:name="_Toc23583"/>
      <w:bookmarkStart w:id="204" w:name="_Toc15092"/>
      <w:bookmarkStart w:id="205" w:name="_Toc24269_WPSOffice_Level1"/>
      <w:bookmarkStart w:id="206" w:name="_Toc29399_WPSOffice_Level1"/>
      <w:r>
        <w:rPr>
          <w:rFonts w:hint="eastAsia" w:ascii="黑体" w:hAnsi="黑体" w:eastAsia="黑体" w:cs="黑体"/>
          <w:b w:val="0"/>
          <w:bCs/>
          <w:color w:val="auto"/>
          <w:sz w:val="28"/>
          <w:szCs w:val="28"/>
          <w:highlight w:val="none"/>
        </w:rPr>
        <w:t>一、</w:t>
      </w:r>
      <w:bookmarkEnd w:id="195"/>
      <w:bookmarkEnd w:id="196"/>
      <w:bookmarkEnd w:id="197"/>
      <w:bookmarkEnd w:id="198"/>
      <w:bookmarkEnd w:id="199"/>
      <w:bookmarkEnd w:id="200"/>
      <w:bookmarkEnd w:id="201"/>
      <w:bookmarkEnd w:id="202"/>
      <w:bookmarkEnd w:id="203"/>
      <w:bookmarkEnd w:id="204"/>
      <w:bookmarkEnd w:id="205"/>
      <w:bookmarkEnd w:id="206"/>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合肥市包河区BH202437号地块装饰不锈钢及玻璃制品采购及安装项目</w:t>
      </w:r>
      <w:r>
        <w:rPr>
          <w:rFonts w:ascii="Times New Roman" w:hAnsi="Times New Roman" w:cs="Times New Roman"/>
          <w:color w:val="auto"/>
          <w:sz w:val="24"/>
          <w:highlight w:val="none"/>
        </w:rPr>
        <w:t>(项目名称)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（包段）</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659ED9B">
      <w:pPr>
        <w:rPr>
          <w:rFonts w:ascii="Times New Roman" w:hAnsi="Times New Roman" w:cs="Times New Roman"/>
          <w:color w:val="auto"/>
          <w:sz w:val="24"/>
          <w:highlight w:val="none"/>
        </w:rPr>
      </w:pPr>
      <w:r>
        <w:rPr>
          <w:rFonts w:ascii="Times New Roman" w:hAnsi="Times New Roman" w:cs="Times New Roman"/>
          <w:color w:val="auto"/>
          <w:sz w:val="24"/>
          <w:highlight w:val="none"/>
        </w:rPr>
        <w:br w:type="page"/>
      </w:r>
    </w:p>
    <w:p w14:paraId="7E9A3F46">
      <w:pPr>
        <w:rPr>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207" w:name="_Toc153421230"/>
      <w:bookmarkStart w:id="208" w:name="_Toc162490440"/>
      <w:bookmarkStart w:id="209" w:name="_Toc272486050"/>
      <w:r>
        <w:rPr>
          <w:rFonts w:hint="eastAsia" w:ascii="黑体" w:hAnsi="黑体" w:eastAsia="黑体" w:cs="黑体"/>
          <w:b w:val="0"/>
          <w:bCs/>
          <w:color w:val="auto"/>
          <w:sz w:val="28"/>
          <w:szCs w:val="28"/>
          <w:highlight w:val="none"/>
        </w:rPr>
        <w:t>二、</w:t>
      </w:r>
      <w:bookmarkEnd w:id="207"/>
      <w:bookmarkEnd w:id="208"/>
      <w:bookmarkEnd w:id="209"/>
      <w:r>
        <w:rPr>
          <w:rFonts w:hint="eastAsia" w:ascii="黑体" w:hAnsi="黑体" w:eastAsia="黑体" w:cs="黑体"/>
          <w:b w:val="0"/>
          <w:bCs/>
          <w:color w:val="auto"/>
          <w:sz w:val="28"/>
          <w:szCs w:val="28"/>
          <w:highlight w:val="none"/>
        </w:rPr>
        <w:t>已标价的报价清单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38DB0F0C">
      <w:pPr>
        <w:bidi w:val="0"/>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附报价清单</w:t>
      </w:r>
    </w:p>
    <w:p w14:paraId="31AB784D">
      <w:pPr>
        <w:rPr>
          <w:rFonts w:hint="eastAsia"/>
          <w:color w:val="auto"/>
          <w:highlight w:val="none"/>
          <w:lang w:val="en-US" w:eastAsia="zh-CN"/>
        </w:rPr>
      </w:pPr>
      <w:r>
        <w:rPr>
          <w:rFonts w:hint="eastAsia"/>
          <w:color w:val="auto"/>
          <w:highlight w:val="none"/>
          <w:lang w:val="en-US" w:eastAsia="zh-CN"/>
        </w:rPr>
        <w:br w:type="page"/>
      </w:r>
    </w:p>
    <w:p w14:paraId="39C6E876">
      <w:pPr>
        <w:bidi w:val="0"/>
        <w:rPr>
          <w:rFonts w:hint="eastAsia"/>
          <w:color w:val="auto"/>
          <w:highlight w:val="none"/>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人在采购清单报价表中填写的综合单价应为</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w:t>
      </w:r>
      <w:r>
        <w:rPr>
          <w:rFonts w:hint="eastAsia" w:ascii="宋体" w:hAnsi="宋体"/>
          <w:color w:val="auto"/>
          <w:szCs w:val="21"/>
          <w:highlight w:val="none"/>
          <w:u w:val="none"/>
          <w:lang w:val="en-US" w:eastAsia="zh-CN"/>
        </w:rPr>
        <w:t>响应</w:t>
      </w:r>
      <w:r>
        <w:rPr>
          <w:rFonts w:hint="eastAsia" w:ascii="宋体" w:hAnsi="宋体"/>
          <w:color w:val="auto"/>
          <w:szCs w:val="21"/>
          <w:highlight w:val="none"/>
          <w:u w:val="none"/>
        </w:rPr>
        <w:t>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70026314">
      <w:pPr>
        <w:adjustRightInd w:val="0"/>
        <w:snapToGrid w:val="0"/>
        <w:spacing w:line="360" w:lineRule="auto"/>
        <w:ind w:firstLine="420" w:firstLineChars="200"/>
        <w:rPr>
          <w:rFonts w:hint="eastAsia"/>
          <w:color w:val="auto"/>
          <w:highlight w:val="none"/>
          <w:lang w:val="en-US" w:eastAsia="zh-CN"/>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2165"/>
        <w:gridCol w:w="3315"/>
        <w:gridCol w:w="3344"/>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165"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r>
              <w:rPr>
                <w:rFonts w:hint="eastAsia"/>
                <w:color w:val="auto"/>
                <w:highlight w:val="none"/>
                <w:u w:val="single"/>
                <w:lang w:val="en-US" w:eastAsia="zh-CN"/>
              </w:rPr>
              <w:t xml:space="preserve">   </w:t>
            </w:r>
            <w:r>
              <w:rPr>
                <w:rFonts w:hint="eastAsia"/>
                <w:color w:val="auto"/>
                <w:highlight w:val="none"/>
                <w:lang w:val="en-US" w:eastAsia="zh-CN"/>
              </w:rPr>
              <w:t>包段）</w:t>
            </w:r>
          </w:p>
        </w:tc>
        <w:tc>
          <w:tcPr>
            <w:tcW w:w="3315"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3344"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65"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3315"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3344"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2946"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6659"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r w14:paraId="0E12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9605" w:type="dxa"/>
            <w:gridSpan w:val="4"/>
            <w:vAlign w:val="center"/>
          </w:tcPr>
          <w:p w14:paraId="7D200D6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p w14:paraId="6CF97ADA">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五金品种、规格：包含但不限于包含玻璃门夹、淋浴拉手、挡水胶条等五金件及辅材；详见清单特征描述。五金根据设计蓝图配置要求执行；具体详见清单特征描述及图纸要求（含相关设计补充说明）。为了保证同一区域五金品牌统一，拟成交人推荐使用品牌，由采购人协调使用同一品牌五金。</w:t>
            </w:r>
          </w:p>
          <w:p w14:paraId="7DDCCC4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2.报价含税13%，含材料费（含辅材）、运输费、装卸费、人员成本、安装费、调试费、成品保护费、缺陷修复费、深化设计费、各项实验检验费、验收费以及与货物有关的特殊要求等可能产生的所有成本和费用。</w:t>
            </w:r>
          </w:p>
          <w:p w14:paraId="27BD8D60">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3.清单所列工程量为暂估数量，最终以实际工程量为准。</w:t>
            </w:r>
          </w:p>
          <w:p w14:paraId="703F0C4B">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4.拟成交人须在采购人通知之日起3日内重新送样并经采购人确认、封样，产品生产工艺要求等参照确样标准执行，主辅材品牌需报采购人同意后方可使用</w:t>
            </w:r>
          </w:p>
          <w:p w14:paraId="5AD71755">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5.每个包段现场安排不少于2人专业深化人员，每批货下单后7天完成生产，货到现场后7天内完成安装。</w:t>
            </w:r>
          </w:p>
          <w:p w14:paraId="5C11110C">
            <w:pPr>
              <w:keepNext w:val="0"/>
              <w:keepLines w:val="0"/>
              <w:suppressLineNumbers w:val="0"/>
              <w:spacing w:before="0" w:beforeAutospacing="0" w:after="0" w:afterAutospacing="0"/>
              <w:ind w:left="0" w:right="0"/>
              <w:rPr>
                <w:rFonts w:hint="eastAsia"/>
                <w:highlight w:val="none"/>
                <w:lang w:val="en-US" w:eastAsia="zh-CN"/>
              </w:rPr>
            </w:pPr>
          </w:p>
        </w:tc>
      </w:tr>
    </w:tbl>
    <w:p w14:paraId="225458D2">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581676FD">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71D1A16A">
      <w:pPr>
        <w:pStyle w:val="19"/>
        <w:rPr>
          <w:rFonts w:hint="eastAsia"/>
          <w:color w:val="auto"/>
          <w:highlight w:val="none"/>
          <w:lang w:val="en-US" w:eastAsia="zh-CN"/>
        </w:rPr>
      </w:pPr>
    </w:p>
    <w:p w14:paraId="0675DBD4">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b/>
          <w:bCs/>
          <w:color w:val="auto"/>
          <w:kern w:val="2"/>
          <w:sz w:val="21"/>
          <w:szCs w:val="21"/>
          <w:highlight w:val="none"/>
          <w:u w:val="none"/>
          <w:lang w:val="en-US" w:eastAsia="zh-CN" w:bidi="ar-SA"/>
        </w:rPr>
        <w:t xml:space="preserve"> 备注：</w:t>
      </w:r>
      <w:r>
        <w:rPr>
          <w:rFonts w:hint="eastAsia" w:ascii="宋体" w:hAnsi="宋体" w:eastAsiaTheme="minorEastAsia" w:cstheme="minorBidi"/>
          <w:color w:val="auto"/>
          <w:kern w:val="2"/>
          <w:sz w:val="21"/>
          <w:szCs w:val="21"/>
          <w:highlight w:val="none"/>
          <w:u w:val="none"/>
          <w:lang w:val="en-US" w:eastAsia="zh-CN" w:bidi="ar-SA"/>
        </w:rPr>
        <w:t>1.上述费用包括货物的原材料、生产、包装、运输、安装、保险、卸货叉车费（如有）、人工费、卸车费、利润、税费等相关费用。</w:t>
      </w:r>
    </w:p>
    <w:p w14:paraId="033682D5">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2.最终结算以实际供货数量为准，送货时附带相关检测报告。</w:t>
      </w:r>
    </w:p>
    <w:p w14:paraId="3BCEB111">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3.必须按规定提供全部完整无损、全新的产品。涉及</w:t>
      </w:r>
      <w:r>
        <w:rPr>
          <w:rFonts w:hint="eastAsia" w:ascii="宋体" w:hAnsi="宋体"/>
          <w:color w:val="auto"/>
          <w:sz w:val="21"/>
          <w:szCs w:val="21"/>
          <w:highlight w:val="none"/>
          <w:lang w:val="en-US" w:eastAsia="zh-CN"/>
        </w:rPr>
        <w:t>供应货物</w:t>
      </w:r>
      <w:r>
        <w:rPr>
          <w:rFonts w:hint="eastAsia" w:ascii="宋体" w:hAnsi="宋体" w:eastAsiaTheme="minorEastAsia" w:cstheme="minorBidi"/>
          <w:color w:val="auto"/>
          <w:kern w:val="2"/>
          <w:sz w:val="21"/>
          <w:szCs w:val="21"/>
          <w:highlight w:val="none"/>
          <w:u w:val="none"/>
          <w:lang w:val="en-US" w:eastAsia="zh-CN" w:bidi="ar-SA"/>
        </w:rPr>
        <w:t>第三方复试费用均由供应商承担（含检测样品），抽检频率和批次按国家、行业标准或甲方要求执行。</w:t>
      </w:r>
    </w:p>
    <w:p w14:paraId="7FCF4E6B">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4.</w:t>
      </w:r>
      <w:r>
        <w:rPr>
          <w:rFonts w:hint="eastAsia" w:ascii="宋体" w:hAnsi="宋体"/>
          <w:color w:val="auto"/>
          <w:sz w:val="21"/>
          <w:szCs w:val="21"/>
          <w:highlight w:val="none"/>
          <w:lang w:val="en-US" w:eastAsia="zh-CN"/>
        </w:rPr>
        <w:t>供应货物</w:t>
      </w:r>
      <w:r>
        <w:rPr>
          <w:rFonts w:hint="eastAsia" w:ascii="宋体" w:hAnsi="宋体" w:eastAsiaTheme="minorEastAsia" w:cstheme="minorBidi"/>
          <w:color w:val="auto"/>
          <w:kern w:val="2"/>
          <w:sz w:val="21"/>
          <w:szCs w:val="21"/>
          <w:highlight w:val="none"/>
          <w:u w:val="none"/>
          <w:lang w:val="en-US" w:eastAsia="zh-CN" w:bidi="ar-SA"/>
        </w:rPr>
        <w:t>须在包装外壁醒目位置上永久性标示生产厂家、生产批次、品牌标志、规格型号、唯一性可追溯性编码标识（如二维码）等信息。</w:t>
      </w:r>
    </w:p>
    <w:p w14:paraId="07511D3A">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5.</w:t>
      </w:r>
      <w:r>
        <w:rPr>
          <w:rFonts w:hint="eastAsia" w:ascii="宋体" w:hAnsi="宋体"/>
          <w:color w:val="auto"/>
          <w:sz w:val="21"/>
          <w:szCs w:val="21"/>
          <w:highlight w:val="none"/>
          <w:lang w:val="en-US" w:eastAsia="zh-CN"/>
        </w:rPr>
        <w:t>供应货物的</w:t>
      </w:r>
      <w:r>
        <w:rPr>
          <w:rFonts w:hint="eastAsia" w:ascii="宋体" w:hAnsi="宋体" w:eastAsiaTheme="minorEastAsia" w:cstheme="minorBidi"/>
          <w:color w:val="auto"/>
          <w:kern w:val="2"/>
          <w:sz w:val="21"/>
          <w:szCs w:val="21"/>
          <w:highlight w:val="none"/>
          <w:u w:val="none"/>
          <w:lang w:val="en-US" w:eastAsia="zh-CN" w:bidi="ar-SA"/>
        </w:rPr>
        <w:t>供货进度应满足采购人工程进度分批次实施的安排和要求，</w:t>
      </w:r>
      <w:r>
        <w:rPr>
          <w:rFonts w:hint="eastAsia" w:ascii="宋体" w:hAnsi="宋体" w:cstheme="minorBidi"/>
          <w:color w:val="auto"/>
          <w:kern w:val="2"/>
          <w:sz w:val="21"/>
          <w:szCs w:val="21"/>
          <w:highlight w:val="none"/>
          <w:u w:val="none"/>
          <w:lang w:val="en-US" w:eastAsia="zh-CN" w:bidi="ar-SA"/>
        </w:rPr>
        <w:t>成交</w:t>
      </w:r>
      <w:r>
        <w:rPr>
          <w:rFonts w:hint="eastAsia" w:ascii="宋体" w:hAnsi="宋体" w:eastAsiaTheme="minorEastAsia" w:cstheme="minorBidi"/>
          <w:color w:val="auto"/>
          <w:kern w:val="2"/>
          <w:sz w:val="21"/>
          <w:szCs w:val="21"/>
          <w:highlight w:val="none"/>
          <w:u w:val="none"/>
          <w:lang w:val="en-US" w:eastAsia="zh-CN" w:bidi="ar-SA"/>
        </w:rPr>
        <w:t>人应充分理解并全力配合采购人</w:t>
      </w:r>
      <w:r>
        <w:rPr>
          <w:rFonts w:hint="eastAsia" w:ascii="宋体" w:hAnsi="宋体"/>
          <w:color w:val="auto"/>
          <w:sz w:val="21"/>
          <w:szCs w:val="21"/>
          <w:highlight w:val="none"/>
          <w:lang w:val="en-US" w:eastAsia="zh-CN"/>
        </w:rPr>
        <w:t>关于供应货物的</w:t>
      </w:r>
      <w:r>
        <w:rPr>
          <w:rFonts w:hint="eastAsia" w:ascii="宋体" w:hAnsi="宋体"/>
          <w:color w:val="auto"/>
          <w:sz w:val="21"/>
          <w:szCs w:val="21"/>
          <w:highlight w:val="none"/>
        </w:rPr>
        <w:t>采购</w:t>
      </w:r>
      <w:r>
        <w:rPr>
          <w:rFonts w:hint="eastAsia" w:ascii="宋体" w:hAnsi="宋体" w:eastAsiaTheme="minorEastAsia" w:cstheme="minorBidi"/>
          <w:color w:val="auto"/>
          <w:kern w:val="2"/>
          <w:sz w:val="21"/>
          <w:szCs w:val="21"/>
          <w:highlight w:val="none"/>
          <w:u w:val="none"/>
          <w:lang w:val="en-US" w:eastAsia="zh-CN" w:bidi="ar-SA"/>
        </w:rPr>
        <w:t>、进场工作，并承担因送货次数增加而引起的运输成本增加等相应风险。</w:t>
      </w:r>
    </w:p>
    <w:p w14:paraId="76B55C20">
      <w:pPr>
        <w:pStyle w:val="19"/>
        <w:keepNext w:val="0"/>
        <w:keepLines w:val="0"/>
        <w:pageBreakBefore w:val="0"/>
        <w:widowControl/>
        <w:kinsoku/>
        <w:wordWrap/>
        <w:overflowPunct/>
        <w:topLinePunct w:val="0"/>
        <w:autoSpaceDE/>
        <w:autoSpaceDN/>
        <w:bidi w:val="0"/>
        <w:adjustRightInd/>
        <w:snapToGrid/>
        <w:spacing w:beforeLines="0" w:beforeAutospacing="0" w:after="0" w:afterLines="0" w:line="440" w:lineRule="exact"/>
        <w:textAlignment w:val="auto"/>
        <w:rPr>
          <w:rFonts w:hint="eastAsia" w:ascii="宋体" w:hAnsi="宋体" w:eastAsiaTheme="minorEastAsia" w:cstheme="minorBidi"/>
          <w:color w:val="auto"/>
          <w:kern w:val="2"/>
          <w:sz w:val="21"/>
          <w:szCs w:val="21"/>
          <w:highlight w:val="none"/>
          <w:u w:val="none"/>
          <w:lang w:val="en-US" w:eastAsia="zh-CN" w:bidi="ar-SA"/>
        </w:rPr>
      </w:pPr>
      <w:r>
        <w:rPr>
          <w:rFonts w:hint="eastAsia" w:ascii="宋体" w:hAnsi="宋体" w:eastAsiaTheme="minorEastAsia" w:cstheme="minorBidi"/>
          <w:color w:val="auto"/>
          <w:kern w:val="2"/>
          <w:sz w:val="21"/>
          <w:szCs w:val="21"/>
          <w:highlight w:val="none"/>
          <w:u w:val="none"/>
          <w:lang w:val="en-US" w:eastAsia="zh-CN" w:bidi="ar-SA"/>
        </w:rPr>
        <w:t>6.成交人对提供的供应货物质量负总责，材料进场应按程序履行报验、交接手续；因供应货物质量问题，将视作违约，成交人须赔偿由此造成返工的全部工程建设费用及其他一切损失，同时由采购人追究成交人的违约责任，情节严重的，依法追究相关责任。</w:t>
      </w:r>
    </w:p>
    <w:p w14:paraId="32E8FD67">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3"/>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28FC1CAC">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53DC093-2FBA-4443-9DD8-04E520CBD64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29AE9C1-B84C-4C92-9013-6B2BF95EA67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F564A58-07CF-40C5-B2D3-636A14BB0E55}"/>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4" w:fontKey="{1F42245C-05B2-4192-9614-3AA98282C18E}"/>
  </w:font>
  <w:font w:name="方正小标宋简体">
    <w:panose1 w:val="02000000000000000000"/>
    <w:charset w:val="86"/>
    <w:family w:val="auto"/>
    <w:pitch w:val="default"/>
    <w:sig w:usb0="00000001" w:usb1="08000000" w:usb2="00000000" w:usb3="00000000" w:csb0="00040000" w:csb1="00000000"/>
    <w:embedRegular r:id="rId5" w:fontKey="{44C5F251-9685-4D33-AC51-2C0573F14FCB}"/>
  </w:font>
  <w:font w:name="Wingdings 2">
    <w:panose1 w:val="05020102010507070707"/>
    <w:charset w:val="02"/>
    <w:family w:val="roman"/>
    <w:pitch w:val="default"/>
    <w:sig w:usb0="00000000" w:usb1="00000000" w:usb2="00000000" w:usb3="00000000" w:csb0="80000000" w:csb1="00000000"/>
    <w:embedRegular r:id="rId6" w:fontKey="{F718AB09-876B-4359-B3D3-E63CBCA91856}"/>
  </w:font>
  <w:font w:name="华文楷体">
    <w:panose1 w:val="02010600040101010101"/>
    <w:charset w:val="86"/>
    <w:family w:val="auto"/>
    <w:pitch w:val="default"/>
    <w:sig w:usb0="00000287" w:usb1="080F0000" w:usb2="00000000" w:usb3="00000000" w:csb0="0004009F" w:csb1="DFD70000"/>
    <w:embedRegular r:id="rId7" w:fontKey="{C01E6D4F-F3B3-4E0A-9849-EE2C6E28C61E}"/>
  </w:font>
  <w:font w:name="仿宋_GB2312">
    <w:panose1 w:val="02010609030101010101"/>
    <w:charset w:val="86"/>
    <w:family w:val="modern"/>
    <w:pitch w:val="default"/>
    <w:sig w:usb0="00000001" w:usb1="080E0000" w:usb2="00000000" w:usb3="00000000" w:csb0="00040000" w:csb1="00000000"/>
    <w:embedRegular r:id="rId8" w:fontKey="{DEA564CD-3820-4189-B0BC-7F21ADFE8AF4}"/>
  </w:font>
  <w:font w:name="楷体">
    <w:panose1 w:val="02010609060101010101"/>
    <w:charset w:val="86"/>
    <w:family w:val="auto"/>
    <w:pitch w:val="default"/>
    <w:sig w:usb0="800002BF" w:usb1="38CF7CFA" w:usb2="00000016" w:usb3="00000000" w:csb0="00040001" w:csb1="00000000"/>
    <w:embedRegular r:id="rId9" w:fontKey="{7CE4BA97-867F-4E8B-97C5-52649E46AC21}"/>
  </w:font>
  <w:font w:name="仿宋">
    <w:panose1 w:val="02010609060101010101"/>
    <w:charset w:val="86"/>
    <w:family w:val="auto"/>
    <w:pitch w:val="default"/>
    <w:sig w:usb0="800002BF" w:usb1="38CF7CFA" w:usb2="00000016" w:usb3="00000000" w:csb0="00040001" w:csb1="00000000"/>
    <w:embedRegular r:id="rId10" w:fontKey="{4ACA2E29-BBEB-46B1-BF5B-B57B2FB6CDDB}"/>
  </w:font>
  <w:font w:name="华文中宋">
    <w:panose1 w:val="02010600040101010101"/>
    <w:charset w:val="50"/>
    <w:family w:val="auto"/>
    <w:pitch w:val="default"/>
    <w:sig w:usb0="00000287" w:usb1="080F0000" w:usb2="00000000" w:usb3="00000000" w:csb0="0004009F" w:csb1="DFD70000"/>
    <w:embedRegular r:id="rId11" w:fontKey="{5A4D92E4-86A1-414C-8995-05C1B3045E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4"/>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4"/>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4"/>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4"/>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4"/>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9"/>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9"/>
      <w:rPr>
        <w:rFonts w:hint="default"/>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1D6466C"/>
    <w:rsid w:val="01FD42EF"/>
    <w:rsid w:val="0211370D"/>
    <w:rsid w:val="0215764D"/>
    <w:rsid w:val="022655F4"/>
    <w:rsid w:val="023E3C6A"/>
    <w:rsid w:val="02777BFD"/>
    <w:rsid w:val="0286092F"/>
    <w:rsid w:val="028D5673"/>
    <w:rsid w:val="02932C1B"/>
    <w:rsid w:val="02B159B4"/>
    <w:rsid w:val="02C26D91"/>
    <w:rsid w:val="02D346A3"/>
    <w:rsid w:val="02DF3606"/>
    <w:rsid w:val="02F05C02"/>
    <w:rsid w:val="036118B1"/>
    <w:rsid w:val="0371289F"/>
    <w:rsid w:val="038863C7"/>
    <w:rsid w:val="0389136D"/>
    <w:rsid w:val="03A9557F"/>
    <w:rsid w:val="03B86BA8"/>
    <w:rsid w:val="03F914B2"/>
    <w:rsid w:val="04230E30"/>
    <w:rsid w:val="042516B9"/>
    <w:rsid w:val="042F2C67"/>
    <w:rsid w:val="04461F7D"/>
    <w:rsid w:val="045E338A"/>
    <w:rsid w:val="046E6DDE"/>
    <w:rsid w:val="047010F6"/>
    <w:rsid w:val="04701D1E"/>
    <w:rsid w:val="047A1C27"/>
    <w:rsid w:val="049D76C3"/>
    <w:rsid w:val="04C16A73"/>
    <w:rsid w:val="04E034BC"/>
    <w:rsid w:val="05085F79"/>
    <w:rsid w:val="051C4A8C"/>
    <w:rsid w:val="052851DF"/>
    <w:rsid w:val="0535195E"/>
    <w:rsid w:val="054416D2"/>
    <w:rsid w:val="05AF29EE"/>
    <w:rsid w:val="05D2339D"/>
    <w:rsid w:val="05F62696"/>
    <w:rsid w:val="05F94BA8"/>
    <w:rsid w:val="060774EA"/>
    <w:rsid w:val="061816F7"/>
    <w:rsid w:val="06341F34"/>
    <w:rsid w:val="06663933"/>
    <w:rsid w:val="068727A0"/>
    <w:rsid w:val="06E878A2"/>
    <w:rsid w:val="07063EDC"/>
    <w:rsid w:val="071432F2"/>
    <w:rsid w:val="073835B2"/>
    <w:rsid w:val="076958CF"/>
    <w:rsid w:val="07A31864"/>
    <w:rsid w:val="07AF3996"/>
    <w:rsid w:val="07C951F6"/>
    <w:rsid w:val="08065E5F"/>
    <w:rsid w:val="080B2B96"/>
    <w:rsid w:val="081D6FC0"/>
    <w:rsid w:val="08412974"/>
    <w:rsid w:val="0881185D"/>
    <w:rsid w:val="08907C6B"/>
    <w:rsid w:val="08CA47FF"/>
    <w:rsid w:val="08E91129"/>
    <w:rsid w:val="09187C60"/>
    <w:rsid w:val="091A5787"/>
    <w:rsid w:val="091A677A"/>
    <w:rsid w:val="09210464"/>
    <w:rsid w:val="095E1B17"/>
    <w:rsid w:val="096867B1"/>
    <w:rsid w:val="09B13FF7"/>
    <w:rsid w:val="0A2E7496"/>
    <w:rsid w:val="0A407D2C"/>
    <w:rsid w:val="0A466107"/>
    <w:rsid w:val="0A64315D"/>
    <w:rsid w:val="0A6C3753"/>
    <w:rsid w:val="0A8235E3"/>
    <w:rsid w:val="0A941F2B"/>
    <w:rsid w:val="0AAD73BC"/>
    <w:rsid w:val="0AB84C95"/>
    <w:rsid w:val="0AED0915"/>
    <w:rsid w:val="0AF3003D"/>
    <w:rsid w:val="0B286939"/>
    <w:rsid w:val="0B2E4625"/>
    <w:rsid w:val="0B416FFB"/>
    <w:rsid w:val="0B7F3FC7"/>
    <w:rsid w:val="0BA10DDD"/>
    <w:rsid w:val="0BB2614A"/>
    <w:rsid w:val="0BC86369"/>
    <w:rsid w:val="0BCC3D77"/>
    <w:rsid w:val="0BDD422F"/>
    <w:rsid w:val="0C024903"/>
    <w:rsid w:val="0C0B5C1E"/>
    <w:rsid w:val="0C0B7829"/>
    <w:rsid w:val="0C126BE9"/>
    <w:rsid w:val="0C252478"/>
    <w:rsid w:val="0C425774"/>
    <w:rsid w:val="0C433DD8"/>
    <w:rsid w:val="0C5C5FF7"/>
    <w:rsid w:val="0CA57A5D"/>
    <w:rsid w:val="0CA667B4"/>
    <w:rsid w:val="0CB62B1E"/>
    <w:rsid w:val="0CD81BE1"/>
    <w:rsid w:val="0D604989"/>
    <w:rsid w:val="0D676CED"/>
    <w:rsid w:val="0DBD0BDC"/>
    <w:rsid w:val="0DC42165"/>
    <w:rsid w:val="0DD26630"/>
    <w:rsid w:val="0DE02F17"/>
    <w:rsid w:val="0E1E3623"/>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D41FBD"/>
    <w:rsid w:val="0FD4370B"/>
    <w:rsid w:val="0FFD54BA"/>
    <w:rsid w:val="101902A4"/>
    <w:rsid w:val="101A751A"/>
    <w:rsid w:val="103E486A"/>
    <w:rsid w:val="105A19A9"/>
    <w:rsid w:val="106D5B52"/>
    <w:rsid w:val="1090350E"/>
    <w:rsid w:val="10944070"/>
    <w:rsid w:val="10A6372F"/>
    <w:rsid w:val="10A97373"/>
    <w:rsid w:val="10CF32FA"/>
    <w:rsid w:val="10DA535D"/>
    <w:rsid w:val="10F20D97"/>
    <w:rsid w:val="10F863AD"/>
    <w:rsid w:val="110D2AFF"/>
    <w:rsid w:val="112131E2"/>
    <w:rsid w:val="11681ED6"/>
    <w:rsid w:val="119C482A"/>
    <w:rsid w:val="11B06C88"/>
    <w:rsid w:val="11C6025A"/>
    <w:rsid w:val="11DF30C9"/>
    <w:rsid w:val="11E46EAE"/>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452E0"/>
    <w:rsid w:val="145D3899"/>
    <w:rsid w:val="14B7657F"/>
    <w:rsid w:val="14BF5434"/>
    <w:rsid w:val="14CE63E8"/>
    <w:rsid w:val="150E5893"/>
    <w:rsid w:val="15133F2C"/>
    <w:rsid w:val="15AF385B"/>
    <w:rsid w:val="15C3657D"/>
    <w:rsid w:val="15CA4090"/>
    <w:rsid w:val="15ED748E"/>
    <w:rsid w:val="15F1786F"/>
    <w:rsid w:val="160C46A9"/>
    <w:rsid w:val="16201F02"/>
    <w:rsid w:val="163D1F3A"/>
    <w:rsid w:val="16414AC9"/>
    <w:rsid w:val="167C0AF5"/>
    <w:rsid w:val="167C76AF"/>
    <w:rsid w:val="16A14FAE"/>
    <w:rsid w:val="16FF3D15"/>
    <w:rsid w:val="17024379"/>
    <w:rsid w:val="17263548"/>
    <w:rsid w:val="17755202"/>
    <w:rsid w:val="1776370C"/>
    <w:rsid w:val="17832749"/>
    <w:rsid w:val="17CF3BE0"/>
    <w:rsid w:val="182746B0"/>
    <w:rsid w:val="184A355E"/>
    <w:rsid w:val="186C7681"/>
    <w:rsid w:val="18786026"/>
    <w:rsid w:val="188C4113"/>
    <w:rsid w:val="189E5E26"/>
    <w:rsid w:val="18D04606"/>
    <w:rsid w:val="18D70F9E"/>
    <w:rsid w:val="18FA5B52"/>
    <w:rsid w:val="19001DBB"/>
    <w:rsid w:val="19053D5D"/>
    <w:rsid w:val="190D676E"/>
    <w:rsid w:val="191A46EE"/>
    <w:rsid w:val="193D5CAC"/>
    <w:rsid w:val="19600F94"/>
    <w:rsid w:val="19647370"/>
    <w:rsid w:val="19975976"/>
    <w:rsid w:val="19C83B53"/>
    <w:rsid w:val="19DE1C05"/>
    <w:rsid w:val="19EB0A7A"/>
    <w:rsid w:val="1A185E2C"/>
    <w:rsid w:val="1A3C6E09"/>
    <w:rsid w:val="1A657CD8"/>
    <w:rsid w:val="1A741F99"/>
    <w:rsid w:val="1AA97D25"/>
    <w:rsid w:val="1AAC1FB7"/>
    <w:rsid w:val="1B1F49AA"/>
    <w:rsid w:val="1B3A2998"/>
    <w:rsid w:val="1B416BA3"/>
    <w:rsid w:val="1B610FF3"/>
    <w:rsid w:val="1B87260E"/>
    <w:rsid w:val="1B9916E8"/>
    <w:rsid w:val="1BF956CF"/>
    <w:rsid w:val="1BFD0D5D"/>
    <w:rsid w:val="1C0C5403"/>
    <w:rsid w:val="1C0E117B"/>
    <w:rsid w:val="1C511068"/>
    <w:rsid w:val="1C7D1E5D"/>
    <w:rsid w:val="1C9D0478"/>
    <w:rsid w:val="1CA464D8"/>
    <w:rsid w:val="1CB03FE0"/>
    <w:rsid w:val="1CB20DCC"/>
    <w:rsid w:val="1CB304A3"/>
    <w:rsid w:val="1CCE26B8"/>
    <w:rsid w:val="1CD07137"/>
    <w:rsid w:val="1CE76D4F"/>
    <w:rsid w:val="1CF12CD2"/>
    <w:rsid w:val="1D3320C5"/>
    <w:rsid w:val="1D3772E3"/>
    <w:rsid w:val="1D3F5364"/>
    <w:rsid w:val="1D990F18"/>
    <w:rsid w:val="1D9C6C71"/>
    <w:rsid w:val="1DBF4066"/>
    <w:rsid w:val="1DC0096E"/>
    <w:rsid w:val="1DD02C25"/>
    <w:rsid w:val="1DFB32CC"/>
    <w:rsid w:val="1E085F02"/>
    <w:rsid w:val="1E2F53D8"/>
    <w:rsid w:val="1E304C77"/>
    <w:rsid w:val="1E605592"/>
    <w:rsid w:val="1E764DB5"/>
    <w:rsid w:val="1E7E7378"/>
    <w:rsid w:val="1EEE0DF0"/>
    <w:rsid w:val="1F026649"/>
    <w:rsid w:val="1F0529C7"/>
    <w:rsid w:val="1F091FF2"/>
    <w:rsid w:val="1F172B9E"/>
    <w:rsid w:val="1F291E28"/>
    <w:rsid w:val="1F6B68E4"/>
    <w:rsid w:val="1F8615BF"/>
    <w:rsid w:val="1F93095F"/>
    <w:rsid w:val="1FB449F5"/>
    <w:rsid w:val="1FC01B05"/>
    <w:rsid w:val="1FD06747"/>
    <w:rsid w:val="1FE64151"/>
    <w:rsid w:val="1FEA7927"/>
    <w:rsid w:val="1FFE5062"/>
    <w:rsid w:val="201C373B"/>
    <w:rsid w:val="20220D88"/>
    <w:rsid w:val="202D724A"/>
    <w:rsid w:val="20432E03"/>
    <w:rsid w:val="20556493"/>
    <w:rsid w:val="20703AC9"/>
    <w:rsid w:val="20A774A8"/>
    <w:rsid w:val="20CE5700"/>
    <w:rsid w:val="20CE712B"/>
    <w:rsid w:val="20E701EC"/>
    <w:rsid w:val="21366A7E"/>
    <w:rsid w:val="216C51F8"/>
    <w:rsid w:val="21705735"/>
    <w:rsid w:val="218872DA"/>
    <w:rsid w:val="21A659B2"/>
    <w:rsid w:val="21EC1864"/>
    <w:rsid w:val="21F52495"/>
    <w:rsid w:val="2211172D"/>
    <w:rsid w:val="222F5C4D"/>
    <w:rsid w:val="22456F98"/>
    <w:rsid w:val="22694276"/>
    <w:rsid w:val="22853AE2"/>
    <w:rsid w:val="22870E4F"/>
    <w:rsid w:val="22886585"/>
    <w:rsid w:val="22A243CB"/>
    <w:rsid w:val="233E4325"/>
    <w:rsid w:val="23610B8C"/>
    <w:rsid w:val="23623B5A"/>
    <w:rsid w:val="23767E36"/>
    <w:rsid w:val="23DC390D"/>
    <w:rsid w:val="23DC56BB"/>
    <w:rsid w:val="23E812A0"/>
    <w:rsid w:val="241155A9"/>
    <w:rsid w:val="241D716E"/>
    <w:rsid w:val="244412FB"/>
    <w:rsid w:val="2472524B"/>
    <w:rsid w:val="24822706"/>
    <w:rsid w:val="24AD2EBF"/>
    <w:rsid w:val="24BB5C18"/>
    <w:rsid w:val="253902A6"/>
    <w:rsid w:val="253F05F7"/>
    <w:rsid w:val="25494FD2"/>
    <w:rsid w:val="254A0D4A"/>
    <w:rsid w:val="254B358D"/>
    <w:rsid w:val="25517C49"/>
    <w:rsid w:val="256E6DFD"/>
    <w:rsid w:val="257F09F3"/>
    <w:rsid w:val="25891872"/>
    <w:rsid w:val="25A641D2"/>
    <w:rsid w:val="25B60EA7"/>
    <w:rsid w:val="25B678EC"/>
    <w:rsid w:val="25B736EC"/>
    <w:rsid w:val="25CC7C14"/>
    <w:rsid w:val="25F767DC"/>
    <w:rsid w:val="25F80363"/>
    <w:rsid w:val="2613091A"/>
    <w:rsid w:val="26153106"/>
    <w:rsid w:val="262D48F3"/>
    <w:rsid w:val="26414C79"/>
    <w:rsid w:val="264D0AF2"/>
    <w:rsid w:val="265909F3"/>
    <w:rsid w:val="26B33519"/>
    <w:rsid w:val="26BB5A5B"/>
    <w:rsid w:val="26DC3C24"/>
    <w:rsid w:val="26E0066E"/>
    <w:rsid w:val="26E81DCB"/>
    <w:rsid w:val="26FE3B9A"/>
    <w:rsid w:val="273571C2"/>
    <w:rsid w:val="275A75F4"/>
    <w:rsid w:val="275E50DA"/>
    <w:rsid w:val="27621A0B"/>
    <w:rsid w:val="276F77FA"/>
    <w:rsid w:val="279E7B84"/>
    <w:rsid w:val="27B103DE"/>
    <w:rsid w:val="27CE17BE"/>
    <w:rsid w:val="27DC4161"/>
    <w:rsid w:val="28302479"/>
    <w:rsid w:val="285445B2"/>
    <w:rsid w:val="286A6C87"/>
    <w:rsid w:val="28D24D9C"/>
    <w:rsid w:val="28F25980"/>
    <w:rsid w:val="28FE7045"/>
    <w:rsid w:val="29345529"/>
    <w:rsid w:val="2941798C"/>
    <w:rsid w:val="294C5129"/>
    <w:rsid w:val="295C70D0"/>
    <w:rsid w:val="295E4EA3"/>
    <w:rsid w:val="296E3259"/>
    <w:rsid w:val="296F6FD1"/>
    <w:rsid w:val="29C70BBB"/>
    <w:rsid w:val="29CD4E78"/>
    <w:rsid w:val="29E4351B"/>
    <w:rsid w:val="2A1A0CEB"/>
    <w:rsid w:val="2A24600D"/>
    <w:rsid w:val="2A305480"/>
    <w:rsid w:val="2A331DAD"/>
    <w:rsid w:val="2A4E6005"/>
    <w:rsid w:val="2A8F70B0"/>
    <w:rsid w:val="2A9C3DF6"/>
    <w:rsid w:val="2AE43776"/>
    <w:rsid w:val="2B06015E"/>
    <w:rsid w:val="2B1D5459"/>
    <w:rsid w:val="2B276CB6"/>
    <w:rsid w:val="2B4F4ECF"/>
    <w:rsid w:val="2B6F284F"/>
    <w:rsid w:val="2BA74026"/>
    <w:rsid w:val="2C2263B3"/>
    <w:rsid w:val="2C9C2F72"/>
    <w:rsid w:val="2CB52F4D"/>
    <w:rsid w:val="2CC15D7F"/>
    <w:rsid w:val="2CD47877"/>
    <w:rsid w:val="2CE83322"/>
    <w:rsid w:val="2D141CF6"/>
    <w:rsid w:val="2D502872"/>
    <w:rsid w:val="2D764930"/>
    <w:rsid w:val="2D984126"/>
    <w:rsid w:val="2DB31BE6"/>
    <w:rsid w:val="2DBB0516"/>
    <w:rsid w:val="2DBE22D5"/>
    <w:rsid w:val="2E0A4375"/>
    <w:rsid w:val="2E0C3040"/>
    <w:rsid w:val="2E0D52BF"/>
    <w:rsid w:val="2E35623B"/>
    <w:rsid w:val="2E4E3659"/>
    <w:rsid w:val="2E505623"/>
    <w:rsid w:val="2E6740D2"/>
    <w:rsid w:val="2E6A7D67"/>
    <w:rsid w:val="2E754C17"/>
    <w:rsid w:val="2E960B5C"/>
    <w:rsid w:val="2EBA6F40"/>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342FDA"/>
    <w:rsid w:val="313C59EB"/>
    <w:rsid w:val="316E7428"/>
    <w:rsid w:val="31702B7F"/>
    <w:rsid w:val="3175714F"/>
    <w:rsid w:val="319B3695"/>
    <w:rsid w:val="31BF0E0A"/>
    <w:rsid w:val="31D976DD"/>
    <w:rsid w:val="31F14A27"/>
    <w:rsid w:val="32164205"/>
    <w:rsid w:val="322546D1"/>
    <w:rsid w:val="32332253"/>
    <w:rsid w:val="324271A8"/>
    <w:rsid w:val="327A0EC0"/>
    <w:rsid w:val="329D4BAF"/>
    <w:rsid w:val="32D10F12"/>
    <w:rsid w:val="331D35FA"/>
    <w:rsid w:val="332C1A8F"/>
    <w:rsid w:val="333B777A"/>
    <w:rsid w:val="333F226C"/>
    <w:rsid w:val="33427CD9"/>
    <w:rsid w:val="33895977"/>
    <w:rsid w:val="339A2E9C"/>
    <w:rsid w:val="33A51F6D"/>
    <w:rsid w:val="33C26030"/>
    <w:rsid w:val="33C547A5"/>
    <w:rsid w:val="33FB393B"/>
    <w:rsid w:val="34090B61"/>
    <w:rsid w:val="34526CBA"/>
    <w:rsid w:val="345A580A"/>
    <w:rsid w:val="34B22DB1"/>
    <w:rsid w:val="34CC52D7"/>
    <w:rsid w:val="34E42564"/>
    <w:rsid w:val="34EA61B8"/>
    <w:rsid w:val="34F12F90"/>
    <w:rsid w:val="34F82570"/>
    <w:rsid w:val="3518676F"/>
    <w:rsid w:val="35201A23"/>
    <w:rsid w:val="352E500F"/>
    <w:rsid w:val="355434F9"/>
    <w:rsid w:val="35690D78"/>
    <w:rsid w:val="35727A6C"/>
    <w:rsid w:val="35843E04"/>
    <w:rsid w:val="35B540D6"/>
    <w:rsid w:val="35BE0BED"/>
    <w:rsid w:val="35C66E2C"/>
    <w:rsid w:val="35CA2312"/>
    <w:rsid w:val="35F76384"/>
    <w:rsid w:val="360F1920"/>
    <w:rsid w:val="361938E0"/>
    <w:rsid w:val="362F5E73"/>
    <w:rsid w:val="36413AA3"/>
    <w:rsid w:val="364C6C07"/>
    <w:rsid w:val="366A124C"/>
    <w:rsid w:val="366A4DA8"/>
    <w:rsid w:val="36B129D7"/>
    <w:rsid w:val="36C144C3"/>
    <w:rsid w:val="372633C5"/>
    <w:rsid w:val="377C4EB7"/>
    <w:rsid w:val="385F275A"/>
    <w:rsid w:val="3885411B"/>
    <w:rsid w:val="388C7CC2"/>
    <w:rsid w:val="38B92676"/>
    <w:rsid w:val="38C23C8C"/>
    <w:rsid w:val="38DC28FD"/>
    <w:rsid w:val="390A63CE"/>
    <w:rsid w:val="394D1ECD"/>
    <w:rsid w:val="3951224F"/>
    <w:rsid w:val="396A50B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20CFA"/>
    <w:rsid w:val="3B3377A5"/>
    <w:rsid w:val="3B361C73"/>
    <w:rsid w:val="3B414529"/>
    <w:rsid w:val="3B47240E"/>
    <w:rsid w:val="3B5A188F"/>
    <w:rsid w:val="3B7C2F21"/>
    <w:rsid w:val="3B895CD0"/>
    <w:rsid w:val="3B8A41D3"/>
    <w:rsid w:val="3BC00DC4"/>
    <w:rsid w:val="3BD57167"/>
    <w:rsid w:val="3C243C4B"/>
    <w:rsid w:val="3C4D6CFE"/>
    <w:rsid w:val="3C651D50"/>
    <w:rsid w:val="3C8666FD"/>
    <w:rsid w:val="3CA523B3"/>
    <w:rsid w:val="3CAF79B9"/>
    <w:rsid w:val="3CF7310E"/>
    <w:rsid w:val="3CFD709B"/>
    <w:rsid w:val="3D0870C9"/>
    <w:rsid w:val="3D3103CE"/>
    <w:rsid w:val="3D4041F2"/>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917BB"/>
    <w:rsid w:val="3F3E1D92"/>
    <w:rsid w:val="3F3E3276"/>
    <w:rsid w:val="3F8C3FE1"/>
    <w:rsid w:val="3FA70E1B"/>
    <w:rsid w:val="3FB452E6"/>
    <w:rsid w:val="3FB5178A"/>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8C2076"/>
    <w:rsid w:val="41A41AB6"/>
    <w:rsid w:val="41B0748D"/>
    <w:rsid w:val="41B873F1"/>
    <w:rsid w:val="41BB6E00"/>
    <w:rsid w:val="41CF3C5E"/>
    <w:rsid w:val="41E874E1"/>
    <w:rsid w:val="41FB71FC"/>
    <w:rsid w:val="423257B2"/>
    <w:rsid w:val="42440BA3"/>
    <w:rsid w:val="424D3EFC"/>
    <w:rsid w:val="4253528A"/>
    <w:rsid w:val="425D1BF0"/>
    <w:rsid w:val="426A68F1"/>
    <w:rsid w:val="426B29F2"/>
    <w:rsid w:val="426D375C"/>
    <w:rsid w:val="42754E3B"/>
    <w:rsid w:val="42815953"/>
    <w:rsid w:val="42A35E1F"/>
    <w:rsid w:val="42B6714C"/>
    <w:rsid w:val="42E414A5"/>
    <w:rsid w:val="42ED38B0"/>
    <w:rsid w:val="430239C6"/>
    <w:rsid w:val="430C466C"/>
    <w:rsid w:val="434D77D9"/>
    <w:rsid w:val="435F025C"/>
    <w:rsid w:val="43676230"/>
    <w:rsid w:val="442716E3"/>
    <w:rsid w:val="442A3DC9"/>
    <w:rsid w:val="44316131"/>
    <w:rsid w:val="443A04B0"/>
    <w:rsid w:val="445B0426"/>
    <w:rsid w:val="44623B29"/>
    <w:rsid w:val="448259B3"/>
    <w:rsid w:val="44AC6153"/>
    <w:rsid w:val="44C24001"/>
    <w:rsid w:val="44CB7E92"/>
    <w:rsid w:val="44CC56B2"/>
    <w:rsid w:val="44D37FBC"/>
    <w:rsid w:val="44D53D34"/>
    <w:rsid w:val="44D81267"/>
    <w:rsid w:val="44DD1721"/>
    <w:rsid w:val="44FA19ED"/>
    <w:rsid w:val="45014B29"/>
    <w:rsid w:val="45260A34"/>
    <w:rsid w:val="452D3B70"/>
    <w:rsid w:val="45303661"/>
    <w:rsid w:val="4551727C"/>
    <w:rsid w:val="45653B06"/>
    <w:rsid w:val="45675307"/>
    <w:rsid w:val="4574425A"/>
    <w:rsid w:val="457C0654"/>
    <w:rsid w:val="458B0897"/>
    <w:rsid w:val="458D6DA1"/>
    <w:rsid w:val="458F2670"/>
    <w:rsid w:val="45B002FD"/>
    <w:rsid w:val="45E82159"/>
    <w:rsid w:val="45ED0F61"/>
    <w:rsid w:val="45FB77CB"/>
    <w:rsid w:val="460C19D8"/>
    <w:rsid w:val="465A0995"/>
    <w:rsid w:val="46767799"/>
    <w:rsid w:val="46B5206F"/>
    <w:rsid w:val="46CA0775"/>
    <w:rsid w:val="46D53D73"/>
    <w:rsid w:val="471825FE"/>
    <w:rsid w:val="4727514F"/>
    <w:rsid w:val="472B232A"/>
    <w:rsid w:val="47451645"/>
    <w:rsid w:val="475036EC"/>
    <w:rsid w:val="476304E5"/>
    <w:rsid w:val="48221986"/>
    <w:rsid w:val="482E0AEB"/>
    <w:rsid w:val="483D1893"/>
    <w:rsid w:val="4840005F"/>
    <w:rsid w:val="48407E8B"/>
    <w:rsid w:val="48492B5E"/>
    <w:rsid w:val="485633DE"/>
    <w:rsid w:val="486A70F8"/>
    <w:rsid w:val="48941C0A"/>
    <w:rsid w:val="48D016B1"/>
    <w:rsid w:val="48EB621C"/>
    <w:rsid w:val="48EF63BC"/>
    <w:rsid w:val="48F03833"/>
    <w:rsid w:val="49143FE3"/>
    <w:rsid w:val="493A2D00"/>
    <w:rsid w:val="49410045"/>
    <w:rsid w:val="497B5EAF"/>
    <w:rsid w:val="49BB5BEF"/>
    <w:rsid w:val="49E550B8"/>
    <w:rsid w:val="4A0F1D6B"/>
    <w:rsid w:val="4A304D72"/>
    <w:rsid w:val="4AAD4C1F"/>
    <w:rsid w:val="4ABD50B2"/>
    <w:rsid w:val="4ADA08DD"/>
    <w:rsid w:val="4AEE5B50"/>
    <w:rsid w:val="4AF53CDA"/>
    <w:rsid w:val="4B302190"/>
    <w:rsid w:val="4B316AE7"/>
    <w:rsid w:val="4B4B4D50"/>
    <w:rsid w:val="4B8D7117"/>
    <w:rsid w:val="4B920BD1"/>
    <w:rsid w:val="4BC863A1"/>
    <w:rsid w:val="4BCD1E1A"/>
    <w:rsid w:val="4C0D05F0"/>
    <w:rsid w:val="4C2F01CE"/>
    <w:rsid w:val="4C327CBE"/>
    <w:rsid w:val="4C336232"/>
    <w:rsid w:val="4C4D68A6"/>
    <w:rsid w:val="4C5440D8"/>
    <w:rsid w:val="4C5B1CC0"/>
    <w:rsid w:val="4C6063F0"/>
    <w:rsid w:val="4CDE25B8"/>
    <w:rsid w:val="4D031C9B"/>
    <w:rsid w:val="4D237C5B"/>
    <w:rsid w:val="4D245859"/>
    <w:rsid w:val="4D4C4DB0"/>
    <w:rsid w:val="4D567F0A"/>
    <w:rsid w:val="4D6B792C"/>
    <w:rsid w:val="4D6E195B"/>
    <w:rsid w:val="4D882C83"/>
    <w:rsid w:val="4DB33731"/>
    <w:rsid w:val="4DB34E9F"/>
    <w:rsid w:val="4DD45985"/>
    <w:rsid w:val="4DDE57A5"/>
    <w:rsid w:val="4DE4323A"/>
    <w:rsid w:val="4DED5CE9"/>
    <w:rsid w:val="4E015B9A"/>
    <w:rsid w:val="4E040F77"/>
    <w:rsid w:val="4E0D2791"/>
    <w:rsid w:val="4E2528C4"/>
    <w:rsid w:val="4E323FA5"/>
    <w:rsid w:val="4E381FE7"/>
    <w:rsid w:val="4E3E294A"/>
    <w:rsid w:val="4E4361B3"/>
    <w:rsid w:val="4E7D3760"/>
    <w:rsid w:val="4E8263F6"/>
    <w:rsid w:val="4EF15C0F"/>
    <w:rsid w:val="4F0478A8"/>
    <w:rsid w:val="4F0E4A13"/>
    <w:rsid w:val="4F245FE4"/>
    <w:rsid w:val="4F5616DF"/>
    <w:rsid w:val="4F570614"/>
    <w:rsid w:val="4F7A3E56"/>
    <w:rsid w:val="4F7E3AF1"/>
    <w:rsid w:val="4FAB67F2"/>
    <w:rsid w:val="4FC81DBA"/>
    <w:rsid w:val="4FE062C8"/>
    <w:rsid w:val="4FF260E2"/>
    <w:rsid w:val="50083210"/>
    <w:rsid w:val="501047BA"/>
    <w:rsid w:val="50236B06"/>
    <w:rsid w:val="50493828"/>
    <w:rsid w:val="5051384E"/>
    <w:rsid w:val="50792360"/>
    <w:rsid w:val="507C1E50"/>
    <w:rsid w:val="508D7BB9"/>
    <w:rsid w:val="50932863"/>
    <w:rsid w:val="50A92418"/>
    <w:rsid w:val="50C64757"/>
    <w:rsid w:val="50E04186"/>
    <w:rsid w:val="50FD6AED"/>
    <w:rsid w:val="51145BE4"/>
    <w:rsid w:val="511A7AB0"/>
    <w:rsid w:val="512E2388"/>
    <w:rsid w:val="516C77CE"/>
    <w:rsid w:val="51801680"/>
    <w:rsid w:val="51AE428B"/>
    <w:rsid w:val="51CF2578"/>
    <w:rsid w:val="51D44165"/>
    <w:rsid w:val="51D82289"/>
    <w:rsid w:val="51E101BC"/>
    <w:rsid w:val="522600D8"/>
    <w:rsid w:val="5230624E"/>
    <w:rsid w:val="524B7D2C"/>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2E67F6"/>
    <w:rsid w:val="557F5C64"/>
    <w:rsid w:val="55BD4A9D"/>
    <w:rsid w:val="55CE5FAF"/>
    <w:rsid w:val="55D65B5E"/>
    <w:rsid w:val="55FF50B5"/>
    <w:rsid w:val="56026953"/>
    <w:rsid w:val="561641AD"/>
    <w:rsid w:val="563E671E"/>
    <w:rsid w:val="5647080A"/>
    <w:rsid w:val="56695122"/>
    <w:rsid w:val="566B44F9"/>
    <w:rsid w:val="567C6706"/>
    <w:rsid w:val="568D4A8B"/>
    <w:rsid w:val="568E01E7"/>
    <w:rsid w:val="56AD68BF"/>
    <w:rsid w:val="56E322E1"/>
    <w:rsid w:val="56F72C39"/>
    <w:rsid w:val="57265724"/>
    <w:rsid w:val="572A7F8A"/>
    <w:rsid w:val="5741059C"/>
    <w:rsid w:val="57821C5F"/>
    <w:rsid w:val="5787376C"/>
    <w:rsid w:val="57A1017F"/>
    <w:rsid w:val="57AF445C"/>
    <w:rsid w:val="57C2283E"/>
    <w:rsid w:val="57DE29A6"/>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821E11"/>
    <w:rsid w:val="5AB0697E"/>
    <w:rsid w:val="5AB51CCA"/>
    <w:rsid w:val="5AB57322"/>
    <w:rsid w:val="5AB86B82"/>
    <w:rsid w:val="5ABC62B9"/>
    <w:rsid w:val="5ADF7263"/>
    <w:rsid w:val="5AED4C1B"/>
    <w:rsid w:val="5B2D4472"/>
    <w:rsid w:val="5B2E428D"/>
    <w:rsid w:val="5B922527"/>
    <w:rsid w:val="5BA52831"/>
    <w:rsid w:val="5BB029AE"/>
    <w:rsid w:val="5BC0596D"/>
    <w:rsid w:val="5BE5635E"/>
    <w:rsid w:val="5BE74621"/>
    <w:rsid w:val="5C03587B"/>
    <w:rsid w:val="5C082ED9"/>
    <w:rsid w:val="5C453255"/>
    <w:rsid w:val="5C4750C0"/>
    <w:rsid w:val="5C4805D9"/>
    <w:rsid w:val="5C482D1B"/>
    <w:rsid w:val="5C7236C4"/>
    <w:rsid w:val="5C8C4DD7"/>
    <w:rsid w:val="5C8E7193"/>
    <w:rsid w:val="5CAD7A90"/>
    <w:rsid w:val="5CB82BDC"/>
    <w:rsid w:val="5CBA0A27"/>
    <w:rsid w:val="5CCC1A69"/>
    <w:rsid w:val="5CE24F97"/>
    <w:rsid w:val="5CEC3B27"/>
    <w:rsid w:val="5CF36FF6"/>
    <w:rsid w:val="5D047455"/>
    <w:rsid w:val="5D656145"/>
    <w:rsid w:val="5D804893"/>
    <w:rsid w:val="5DA53F1B"/>
    <w:rsid w:val="5DA54794"/>
    <w:rsid w:val="5DC63FF9"/>
    <w:rsid w:val="5E96232F"/>
    <w:rsid w:val="5F13397F"/>
    <w:rsid w:val="5F4571B2"/>
    <w:rsid w:val="5F4F2373"/>
    <w:rsid w:val="5F512A75"/>
    <w:rsid w:val="5F6A078D"/>
    <w:rsid w:val="5F93061C"/>
    <w:rsid w:val="5F9A7BFD"/>
    <w:rsid w:val="5FA23A48"/>
    <w:rsid w:val="5FB36CBE"/>
    <w:rsid w:val="5FC627A0"/>
    <w:rsid w:val="5FD076A0"/>
    <w:rsid w:val="5FD07ABA"/>
    <w:rsid w:val="5FDE7373"/>
    <w:rsid w:val="5FED36FB"/>
    <w:rsid w:val="60561D75"/>
    <w:rsid w:val="606F72DB"/>
    <w:rsid w:val="60873932"/>
    <w:rsid w:val="60A32AE1"/>
    <w:rsid w:val="60B834A6"/>
    <w:rsid w:val="60BC5E8F"/>
    <w:rsid w:val="60C170FF"/>
    <w:rsid w:val="60CC0666"/>
    <w:rsid w:val="60E17F6F"/>
    <w:rsid w:val="610E27AB"/>
    <w:rsid w:val="611511C3"/>
    <w:rsid w:val="61393910"/>
    <w:rsid w:val="614F1476"/>
    <w:rsid w:val="61710A64"/>
    <w:rsid w:val="61750921"/>
    <w:rsid w:val="61A15272"/>
    <w:rsid w:val="61C111BB"/>
    <w:rsid w:val="61D84352"/>
    <w:rsid w:val="61DA4AD9"/>
    <w:rsid w:val="61F335F4"/>
    <w:rsid w:val="62031A89"/>
    <w:rsid w:val="622F0AD0"/>
    <w:rsid w:val="623D3E1F"/>
    <w:rsid w:val="62626313"/>
    <w:rsid w:val="629D4803"/>
    <w:rsid w:val="62AE498D"/>
    <w:rsid w:val="62ED1A72"/>
    <w:rsid w:val="633F4D43"/>
    <w:rsid w:val="637F5A87"/>
    <w:rsid w:val="638048A2"/>
    <w:rsid w:val="638A2399"/>
    <w:rsid w:val="63C86BF3"/>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31F0E"/>
    <w:rsid w:val="658C2053"/>
    <w:rsid w:val="65EB11B2"/>
    <w:rsid w:val="65F75DA9"/>
    <w:rsid w:val="66576847"/>
    <w:rsid w:val="66672543"/>
    <w:rsid w:val="6683497C"/>
    <w:rsid w:val="669B2BD8"/>
    <w:rsid w:val="66B21CD0"/>
    <w:rsid w:val="66CD13E8"/>
    <w:rsid w:val="66D734E4"/>
    <w:rsid w:val="66E872A7"/>
    <w:rsid w:val="676E5CC7"/>
    <w:rsid w:val="679B085B"/>
    <w:rsid w:val="67E14BAB"/>
    <w:rsid w:val="67EE0AE5"/>
    <w:rsid w:val="67F71E56"/>
    <w:rsid w:val="683A3D2B"/>
    <w:rsid w:val="684C44B3"/>
    <w:rsid w:val="68506E3A"/>
    <w:rsid w:val="686A0AB4"/>
    <w:rsid w:val="68880F3A"/>
    <w:rsid w:val="690F1726"/>
    <w:rsid w:val="691922CA"/>
    <w:rsid w:val="693C3AD3"/>
    <w:rsid w:val="6942765C"/>
    <w:rsid w:val="696E0130"/>
    <w:rsid w:val="69D8608D"/>
    <w:rsid w:val="69EC54F9"/>
    <w:rsid w:val="6A260A0B"/>
    <w:rsid w:val="6A2D5CB0"/>
    <w:rsid w:val="6A4D2110"/>
    <w:rsid w:val="6A663992"/>
    <w:rsid w:val="6A7D0A56"/>
    <w:rsid w:val="6A922385"/>
    <w:rsid w:val="6AB10CF8"/>
    <w:rsid w:val="6ABA6C3B"/>
    <w:rsid w:val="6ABE50E7"/>
    <w:rsid w:val="6AFC5C0F"/>
    <w:rsid w:val="6B4078AA"/>
    <w:rsid w:val="6B4663C9"/>
    <w:rsid w:val="6B7B7F55"/>
    <w:rsid w:val="6B916358"/>
    <w:rsid w:val="6B981494"/>
    <w:rsid w:val="6BA57CEF"/>
    <w:rsid w:val="6BB64C56"/>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D4F2A"/>
    <w:rsid w:val="6CC12D11"/>
    <w:rsid w:val="6CFE27E3"/>
    <w:rsid w:val="6D274D94"/>
    <w:rsid w:val="6D6655C2"/>
    <w:rsid w:val="6D7B2E1B"/>
    <w:rsid w:val="6D8C026B"/>
    <w:rsid w:val="6D955447"/>
    <w:rsid w:val="6D9E0D2D"/>
    <w:rsid w:val="6D9E2EF6"/>
    <w:rsid w:val="6DA87988"/>
    <w:rsid w:val="6DAD3879"/>
    <w:rsid w:val="6DD01AB0"/>
    <w:rsid w:val="6DD16EDF"/>
    <w:rsid w:val="6DD857F0"/>
    <w:rsid w:val="6DE5298B"/>
    <w:rsid w:val="6DE94229"/>
    <w:rsid w:val="6DEB139F"/>
    <w:rsid w:val="6DF350A8"/>
    <w:rsid w:val="6E160D96"/>
    <w:rsid w:val="6E494CC8"/>
    <w:rsid w:val="6E4A3AA9"/>
    <w:rsid w:val="6E557B10"/>
    <w:rsid w:val="6E5A5C26"/>
    <w:rsid w:val="6E62222D"/>
    <w:rsid w:val="6E741A47"/>
    <w:rsid w:val="6E846891"/>
    <w:rsid w:val="6E8B3FD1"/>
    <w:rsid w:val="6E9D5013"/>
    <w:rsid w:val="6E9E14B7"/>
    <w:rsid w:val="6EB34837"/>
    <w:rsid w:val="6EC73382"/>
    <w:rsid w:val="6EDB181C"/>
    <w:rsid w:val="6EDB722F"/>
    <w:rsid w:val="6F0843FC"/>
    <w:rsid w:val="6F0B01CF"/>
    <w:rsid w:val="6F0C014F"/>
    <w:rsid w:val="6F0D11E7"/>
    <w:rsid w:val="6F1D644C"/>
    <w:rsid w:val="6F4D02A4"/>
    <w:rsid w:val="6F4F630E"/>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0EC5DDE"/>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CC6418"/>
    <w:rsid w:val="72E163D5"/>
    <w:rsid w:val="73010267"/>
    <w:rsid w:val="730651BF"/>
    <w:rsid w:val="732C1100"/>
    <w:rsid w:val="73400A3E"/>
    <w:rsid w:val="734D2E7F"/>
    <w:rsid w:val="735D7E91"/>
    <w:rsid w:val="737A5923"/>
    <w:rsid w:val="7395275D"/>
    <w:rsid w:val="73CF6471"/>
    <w:rsid w:val="73F118A1"/>
    <w:rsid w:val="74024296"/>
    <w:rsid w:val="7484379D"/>
    <w:rsid w:val="748A428C"/>
    <w:rsid w:val="74956EB9"/>
    <w:rsid w:val="7496678D"/>
    <w:rsid w:val="749E5641"/>
    <w:rsid w:val="74EE7509"/>
    <w:rsid w:val="75143EEA"/>
    <w:rsid w:val="751540E3"/>
    <w:rsid w:val="75157FF9"/>
    <w:rsid w:val="757762DF"/>
    <w:rsid w:val="75D91027"/>
    <w:rsid w:val="75E17719"/>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3B7903"/>
    <w:rsid w:val="79442C5B"/>
    <w:rsid w:val="79487052"/>
    <w:rsid w:val="79586707"/>
    <w:rsid w:val="79941F77"/>
    <w:rsid w:val="79BE0C60"/>
    <w:rsid w:val="79C218C0"/>
    <w:rsid w:val="79E06FD9"/>
    <w:rsid w:val="79F006ED"/>
    <w:rsid w:val="79F53437"/>
    <w:rsid w:val="7A052A13"/>
    <w:rsid w:val="7A144B1A"/>
    <w:rsid w:val="7A2B3BCE"/>
    <w:rsid w:val="7A7430CC"/>
    <w:rsid w:val="7A80169B"/>
    <w:rsid w:val="7AAE735F"/>
    <w:rsid w:val="7AC1208A"/>
    <w:rsid w:val="7AC3206E"/>
    <w:rsid w:val="7AC51215"/>
    <w:rsid w:val="7AE446F6"/>
    <w:rsid w:val="7AFF6ACD"/>
    <w:rsid w:val="7B0326A2"/>
    <w:rsid w:val="7B05201F"/>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2D6627"/>
    <w:rsid w:val="7D404FB3"/>
    <w:rsid w:val="7D4A7FD6"/>
    <w:rsid w:val="7D8C349D"/>
    <w:rsid w:val="7D8C697F"/>
    <w:rsid w:val="7DA02855"/>
    <w:rsid w:val="7DC73E5B"/>
    <w:rsid w:val="7DC73F51"/>
    <w:rsid w:val="7DE70059"/>
    <w:rsid w:val="7DF32EA2"/>
    <w:rsid w:val="7E0B1DFF"/>
    <w:rsid w:val="7E134C71"/>
    <w:rsid w:val="7E2352CD"/>
    <w:rsid w:val="7E2A3C98"/>
    <w:rsid w:val="7E4E1E86"/>
    <w:rsid w:val="7E5043EB"/>
    <w:rsid w:val="7E604231"/>
    <w:rsid w:val="7EA61CC2"/>
    <w:rsid w:val="7EB34E00"/>
    <w:rsid w:val="7ECB34D7"/>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styleId="9">
    <w:name w:val="header"/>
    <w:basedOn w:val="1"/>
    <w:next w:val="1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9"/>
    <w:qFormat/>
    <w:uiPriority w:val="0"/>
    <w:pPr>
      <w:spacing w:after="120"/>
      <w:ind w:left="420" w:leftChars="200"/>
    </w:pPr>
  </w:style>
  <w:style w:type="paragraph" w:styleId="12">
    <w:name w:val="envelope return"/>
    <w:basedOn w:val="1"/>
    <w:unhideWhenUsed/>
    <w:qFormat/>
    <w:uiPriority w:val="99"/>
    <w:pPr>
      <w:snapToGrid w:val="0"/>
      <w:ind w:firstLine="200"/>
    </w:pPr>
    <w:rPr>
      <w:rFonts w:ascii="Arial" w:hAnsi="Arial" w:cs="Arial"/>
      <w:szCs w:val="20"/>
    </w:rPr>
  </w:style>
  <w:style w:type="paragraph" w:styleId="13">
    <w:name w:val="Plain Text"/>
    <w:basedOn w:val="1"/>
    <w:link w:val="40"/>
    <w:qFormat/>
    <w:uiPriority w:val="0"/>
    <w:rPr>
      <w:rFonts w:ascii="宋体" w:hAnsi="Courier New"/>
      <w:szCs w:val="20"/>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11"/>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11"/>
    <w:qFormat/>
    <w:uiPriority w:val="0"/>
  </w:style>
  <w:style w:type="character" w:customStyle="1" w:styleId="40">
    <w:name w:val="纯文本 Char"/>
    <w:link w:val="13"/>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3707</Words>
  <Characters>4161</Characters>
  <Lines>1</Lines>
  <Paragraphs>1</Paragraphs>
  <TotalTime>1</TotalTime>
  <ScaleCrop>false</ScaleCrop>
  <LinksUpToDate>false</LinksUpToDate>
  <CharactersWithSpaces>4312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，遇见</cp:lastModifiedBy>
  <cp:lastPrinted>2025-07-29T09:12:00Z</cp:lastPrinted>
  <dcterms:modified xsi:type="dcterms:W3CDTF">2025-11-28T09:11:32Z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3E0E1457C74543539EB4AE511BC14EFD_13</vt:lpwstr>
  </property>
  <property fmtid="{D5CDD505-2E9C-101B-9397-08002B2CF9AE}" pid="4" name="KSOTemplateDocerSaveRecord">
    <vt:lpwstr>eyJoZGlkIjoiNGRiN2FjM2IwNjUxZWRiZTZhMTg1YTdmYzFhZWExNzgiLCJ1c2VySWQiOiI0MDU4NDYwODgifQ==</vt:lpwstr>
  </property>
</Properties>
</file>