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9DF00">
      <w:pPr>
        <w:widowControl/>
        <w:jc w:val="center"/>
        <w:rPr>
          <w:rFonts w:hint="eastAsia" w:ascii="方正小标宋简体" w:hAnsi="方正小标宋简体" w:eastAsia="方正小标宋简体" w:cs="方正小标宋简体"/>
          <w:b w:val="0"/>
          <w:bCs w:val="0"/>
          <w:color w:val="auto"/>
          <w:spacing w:val="0"/>
          <w:w w:val="10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0"/>
          <w:w w:val="100"/>
          <w:kern w:val="10"/>
          <w:sz w:val="44"/>
          <w:szCs w:val="44"/>
          <w:highlight w:val="none"/>
          <w:u w:val="none"/>
          <w:lang w:val="en-US" w:eastAsia="zh-CN"/>
        </w:rPr>
        <w:t>安徽省经工物资有限公司蒸压加气混凝土砌块年度采购项目</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8"/>
        <w:rPr>
          <w:rFonts w:ascii="Times New Roman" w:hAnsi="Times New Roman" w:cs="Times New Roman"/>
          <w:color w:val="auto"/>
          <w:szCs w:val="21"/>
        </w:rPr>
      </w:pPr>
    </w:p>
    <w:p w14:paraId="6B3871F8">
      <w:pPr>
        <w:rPr>
          <w:color w:val="auto"/>
        </w:rPr>
      </w:pPr>
    </w:p>
    <w:p w14:paraId="28B17120">
      <w:pPr>
        <w:pStyle w:val="8"/>
        <w:rPr>
          <w:rFonts w:ascii="Times New Roman" w:hAnsi="Times New Roman" w:cs="Times New Roman"/>
          <w:color w:val="auto"/>
          <w:szCs w:val="21"/>
        </w:rPr>
      </w:pPr>
    </w:p>
    <w:p w14:paraId="3E23AC69">
      <w:pPr>
        <w:pStyle w:val="8"/>
        <w:rPr>
          <w:rFonts w:ascii="Times New Roman" w:hAnsi="Times New Roman" w:cs="Times New Roman"/>
          <w:color w:val="auto"/>
          <w:szCs w:val="21"/>
        </w:rPr>
      </w:pPr>
    </w:p>
    <w:p w14:paraId="33EC8FBC">
      <w:pPr>
        <w:pStyle w:val="9"/>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lang w:val="en-US"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12 </w:t>
      </w:r>
      <w:r>
        <w:rPr>
          <w:rFonts w:hint="eastAsia" w:ascii="黑体" w:hAnsi="黑体" w:eastAsia="黑体" w:cs="黑体"/>
          <w:color w:val="auto"/>
          <w:sz w:val="32"/>
          <w:szCs w:val="32"/>
          <w:highlight w:val="none"/>
        </w:rPr>
        <w:t>月</w:t>
      </w:r>
    </w:p>
    <w:p w14:paraId="0C110005">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p w14:paraId="22316A64">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74AD8A3D">
          <w:pPr>
            <w:pStyle w:val="15"/>
            <w:tabs>
              <w:tab w:val="right" w:leader="dot" w:pos="8312"/>
            </w:tabs>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_Toc26795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_Toc26795 \h </w:instrText>
          </w:r>
          <w:r>
            <w:fldChar w:fldCharType="separate"/>
          </w:r>
          <w:r>
            <w:t>3</w:t>
          </w:r>
          <w:r>
            <w:fldChar w:fldCharType="end"/>
          </w:r>
          <w:r>
            <w:rPr>
              <w:rFonts w:hint="eastAsia" w:ascii="宋体" w:hAnsi="宋体" w:eastAsia="宋体" w:cs="宋体"/>
              <w:color w:val="auto"/>
              <w:szCs w:val="24"/>
            </w:rPr>
            <w:fldChar w:fldCharType="end"/>
          </w:r>
        </w:p>
        <w:p w14:paraId="6093167D">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_Toc29642 </w:instrText>
          </w:r>
          <w:r>
            <w:rPr>
              <w:rFonts w:hint="eastAsia" w:ascii="宋体" w:hAnsi="宋体" w:eastAsia="宋体" w:cs="宋体"/>
              <w:szCs w:val="24"/>
            </w:rPr>
            <w:fldChar w:fldCharType="separate"/>
          </w:r>
          <w:r>
            <w:rPr>
              <w:rFonts w:hint="eastAsia" w:ascii="Times New Roman" w:hAnsi="Times New Roman" w:eastAsia="宋体"/>
              <w:szCs w:val="44"/>
            </w:rPr>
            <w:t>第二章 供应商须知</w:t>
          </w:r>
          <w:r>
            <w:tab/>
          </w:r>
          <w:r>
            <w:fldChar w:fldCharType="begin"/>
          </w:r>
          <w:r>
            <w:instrText xml:space="preserve"> PAGEREF _Toc29642 \h </w:instrText>
          </w:r>
          <w:r>
            <w:fldChar w:fldCharType="separate"/>
          </w:r>
          <w:r>
            <w:t>7</w:t>
          </w:r>
          <w:r>
            <w:fldChar w:fldCharType="end"/>
          </w:r>
          <w:r>
            <w:rPr>
              <w:rFonts w:hint="eastAsia" w:ascii="宋体" w:hAnsi="宋体" w:eastAsia="宋体" w:cs="宋体"/>
              <w:color w:val="auto"/>
              <w:szCs w:val="24"/>
            </w:rPr>
            <w:fldChar w:fldCharType="end"/>
          </w:r>
        </w:p>
        <w:p w14:paraId="089AC194">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_Toc16365 </w:instrText>
          </w:r>
          <w:r>
            <w:rPr>
              <w:rFonts w:hint="eastAsia" w:ascii="宋体" w:hAnsi="宋体" w:eastAsia="宋体" w:cs="宋体"/>
              <w:szCs w:val="24"/>
            </w:rPr>
            <w:fldChar w:fldCharType="separate"/>
          </w:r>
          <w:r>
            <w:rPr>
              <w:rFonts w:hint="eastAsia" w:ascii="Times New Roman" w:hAnsi="Times New Roman" w:eastAsia="Times New Roman"/>
              <w:szCs w:val="44"/>
            </w:rPr>
            <w:t xml:space="preserve">第三章 </w:t>
          </w:r>
          <w:r>
            <w:rPr>
              <w:rFonts w:hint="eastAsia" w:ascii="Times New Roman" w:hAnsi="Times New Roman" w:eastAsia="宋体"/>
              <w:szCs w:val="44"/>
            </w:rPr>
            <w:t>评审办法</w:t>
          </w:r>
          <w:r>
            <w:tab/>
          </w:r>
          <w:r>
            <w:fldChar w:fldCharType="begin"/>
          </w:r>
          <w:r>
            <w:instrText xml:space="preserve"> PAGEREF _Toc16365 \h </w:instrText>
          </w:r>
          <w:r>
            <w:fldChar w:fldCharType="separate"/>
          </w:r>
          <w:r>
            <w:t>17</w:t>
          </w:r>
          <w:r>
            <w:fldChar w:fldCharType="end"/>
          </w:r>
          <w:r>
            <w:rPr>
              <w:rFonts w:hint="eastAsia" w:ascii="宋体" w:hAnsi="宋体" w:eastAsia="宋体" w:cs="宋体"/>
              <w:color w:val="auto"/>
              <w:szCs w:val="24"/>
            </w:rPr>
            <w:fldChar w:fldCharType="end"/>
          </w:r>
        </w:p>
        <w:p w14:paraId="4816D342">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_Toc26287 </w:instrText>
          </w:r>
          <w:r>
            <w:rPr>
              <w:rFonts w:hint="eastAsia" w:ascii="宋体" w:hAnsi="宋体" w:eastAsia="宋体" w:cs="宋体"/>
              <w:szCs w:val="24"/>
            </w:rPr>
            <w:fldChar w:fldCharType="separate"/>
          </w:r>
          <w:r>
            <w:rPr>
              <w:rFonts w:hint="eastAsia" w:ascii="Times New Roman" w:hAnsi="Times New Roman" w:eastAsia="宋体"/>
              <w:szCs w:val="44"/>
              <w:highlight w:val="none"/>
            </w:rPr>
            <w:t>第四章 合同内容</w:t>
          </w:r>
          <w:r>
            <w:tab/>
          </w:r>
          <w:r>
            <w:fldChar w:fldCharType="begin"/>
          </w:r>
          <w:r>
            <w:instrText xml:space="preserve"> PAGEREF _Toc26287 \h </w:instrText>
          </w:r>
          <w:r>
            <w:fldChar w:fldCharType="separate"/>
          </w:r>
          <w:r>
            <w:t>24</w:t>
          </w:r>
          <w:r>
            <w:fldChar w:fldCharType="end"/>
          </w:r>
          <w:r>
            <w:rPr>
              <w:rFonts w:hint="eastAsia" w:ascii="宋体" w:hAnsi="宋体" w:eastAsia="宋体" w:cs="宋体"/>
              <w:color w:val="auto"/>
              <w:szCs w:val="24"/>
            </w:rPr>
            <w:fldChar w:fldCharType="end"/>
          </w:r>
        </w:p>
        <w:p w14:paraId="40F2B35D">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_Toc5588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 xml:space="preserve">第五章 </w:t>
          </w:r>
          <w:r>
            <w:rPr>
              <w:rFonts w:hint="eastAsia" w:ascii="Times New Roman" w:hAnsi="Times New Roman" w:eastAsia="宋体"/>
              <w:szCs w:val="44"/>
              <w:highlight w:val="none"/>
            </w:rPr>
            <w:t>采购需求及清单</w:t>
          </w:r>
          <w:r>
            <w:tab/>
          </w:r>
          <w:r>
            <w:fldChar w:fldCharType="begin"/>
          </w:r>
          <w:r>
            <w:instrText xml:space="preserve"> PAGEREF _Toc5588 \h </w:instrText>
          </w:r>
          <w:r>
            <w:fldChar w:fldCharType="separate"/>
          </w:r>
          <w:r>
            <w:t>50</w:t>
          </w:r>
          <w:r>
            <w:fldChar w:fldCharType="end"/>
          </w:r>
          <w:r>
            <w:rPr>
              <w:rFonts w:hint="eastAsia" w:ascii="宋体" w:hAnsi="宋体" w:eastAsia="宋体" w:cs="宋体"/>
              <w:color w:val="auto"/>
              <w:szCs w:val="24"/>
            </w:rPr>
            <w:fldChar w:fldCharType="end"/>
          </w:r>
        </w:p>
        <w:p w14:paraId="17BA666F">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_Toc3926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第六章 响应文件格式</w:t>
          </w:r>
          <w:r>
            <w:tab/>
          </w:r>
          <w:r>
            <w:fldChar w:fldCharType="begin"/>
          </w:r>
          <w:r>
            <w:instrText xml:space="preserve"> PAGEREF _Toc3926 \h </w:instrText>
          </w:r>
          <w:r>
            <w:fldChar w:fldCharType="separate"/>
          </w:r>
          <w:r>
            <w:t>51</w:t>
          </w:r>
          <w:r>
            <w:fldChar w:fldCharType="end"/>
          </w:r>
          <w:r>
            <w:rPr>
              <w:rFonts w:hint="eastAsia" w:ascii="宋体" w:hAnsi="宋体" w:eastAsia="宋体" w:cs="宋体"/>
              <w:color w:val="auto"/>
              <w:szCs w:val="24"/>
            </w:rPr>
            <w:fldChar w:fldCharType="end"/>
          </w:r>
        </w:p>
        <w:p w14:paraId="1AFEF095">
          <w:pPr>
            <w:pStyle w:val="15"/>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highlight w:val="red"/>
        </w:rPr>
      </w:pPr>
    </w:p>
    <w:p w14:paraId="6976B8AF">
      <w:pPr>
        <w:jc w:val="center"/>
        <w:rPr>
          <w:rFonts w:hint="default" w:ascii="宋体" w:hAnsi="宋体" w:eastAsia="宋体"/>
          <w:color w:val="auto"/>
          <w:lang w:val="en-US" w:eastAsia="zh-CN"/>
        </w:rPr>
      </w:pPr>
      <w:r>
        <w:rPr>
          <w:rFonts w:hint="eastAsia" w:ascii="宋体" w:hAnsi="宋体" w:eastAsia="宋体"/>
          <w:color w:val="auto"/>
          <w:lang w:val="en-US" w:eastAsia="zh-CN"/>
        </w:rPr>
        <w:t xml:space="preserve">                            </w:t>
      </w:r>
    </w:p>
    <w:p w14:paraId="6E9B683B">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  </w:t>
      </w:r>
      <w:bookmarkStart w:id="0" w:name="_Toc26795"/>
      <w:r>
        <w:rPr>
          <w:rFonts w:ascii="Times New Roman" w:hAnsi="Times New Roman" w:eastAsia="宋体" w:cs="Times New Roman"/>
          <w:color w:val="auto"/>
        </w:rPr>
        <w:t>采购公告</w:t>
      </w:r>
      <w:bookmarkEnd w:id="0"/>
    </w:p>
    <w:p w14:paraId="0408454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1" w:name="_Toc10395_WPSOffice_Level2"/>
      <w:bookmarkStart w:id="2" w:name="_Toc12765"/>
      <w:bookmarkStart w:id="3" w:name="_Toc24354_WPSOffice_Level2"/>
      <w:bookmarkStart w:id="4" w:name="_Toc13871"/>
      <w:bookmarkStart w:id="5" w:name="_Toc4489_WPSOffice_Level2"/>
      <w:bookmarkStart w:id="6" w:name="_Toc6496_WPSOffice_Level2"/>
      <w:bookmarkStart w:id="7" w:name="_Toc525632585"/>
      <w:r>
        <w:rPr>
          <w:rFonts w:hint="eastAsia" w:ascii="Times New Roman" w:hAnsi="Times New Roman" w:eastAsia="黑体" w:cs="Times New Roman"/>
          <w:b w:val="0"/>
          <w:bCs/>
          <w:color w:val="auto"/>
          <w:sz w:val="22"/>
          <w:szCs w:val="15"/>
          <w:highlight w:val="none"/>
          <w:lang w:val="en-US" w:eastAsia="zh-CN"/>
        </w:rPr>
        <w:t>1.</w:t>
      </w:r>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安徽省经工物资有限公司蒸压加气混凝土砌块年度采购项目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b/>
          <w:bCs/>
          <w:color w:val="000000" w:themeColor="text1"/>
          <w:sz w:val="21"/>
          <w:szCs w:val="21"/>
          <w:highlight w:val="yellow"/>
          <w14:textFill>
            <w14:solidFill>
              <w14:schemeClr w14:val="tx1"/>
            </w14:solidFill>
          </w14:textFill>
        </w:rPr>
      </w:pPr>
      <w:r>
        <w:rPr>
          <w:rFonts w:hint="eastAsia" w:ascii="Times New Roman" w:hAnsi="Times New Roman" w:eastAsia="宋体" w:cs="Times New Roman"/>
          <w:color w:val="auto"/>
          <w:sz w:val="21"/>
          <w:szCs w:val="21"/>
          <w:highlight w:val="yellow"/>
          <w:u w:val="none"/>
          <w:lang w:val="en-US" w:eastAsia="zh-CN"/>
        </w:rPr>
        <w:t>1.3</w:t>
      </w:r>
      <w:r>
        <w:rPr>
          <w:rFonts w:hint="default" w:ascii="Times New Roman" w:hAnsi="Times New Roman" w:eastAsia="宋体" w:cs="Times New Roman"/>
          <w:color w:val="auto"/>
          <w:sz w:val="21"/>
          <w:szCs w:val="21"/>
          <w:highlight w:val="yellow"/>
        </w:rPr>
        <w:t xml:space="preserve"> 项目概况：</w:t>
      </w:r>
      <w:r>
        <w:rPr>
          <w:rFonts w:hint="default" w:ascii="Times New Roman" w:hAnsi="Times New Roman" w:eastAsia="宋体" w:cs="Times New Roman"/>
          <w:b/>
          <w:bCs/>
          <w:color w:val="auto"/>
          <w:sz w:val="21"/>
          <w:szCs w:val="21"/>
          <w:highlight w:val="yellow"/>
          <w:u w:val="single"/>
          <w:lang w:val="en-US" w:eastAsia="zh-CN"/>
        </w:rPr>
        <w:t>主要为</w:t>
      </w:r>
      <w:r>
        <w:rPr>
          <w:rFonts w:hint="eastAsia" w:ascii="Times New Roman" w:hAnsi="Times New Roman" w:eastAsia="宋体" w:cs="Times New Roman"/>
          <w:b/>
          <w:bCs/>
          <w:color w:val="auto"/>
          <w:sz w:val="21"/>
          <w:szCs w:val="21"/>
          <w:highlight w:val="yellow"/>
          <w:u w:val="single"/>
          <w:lang w:val="en-US" w:eastAsia="zh-CN"/>
        </w:rPr>
        <w:t>合肥市</w:t>
      </w:r>
      <w:r>
        <w:rPr>
          <w:rFonts w:hint="default" w:ascii="Times New Roman" w:hAnsi="Times New Roman" w:eastAsia="宋体" w:cs="Times New Roman"/>
          <w:b/>
          <w:bCs/>
          <w:color w:val="auto"/>
          <w:sz w:val="21"/>
          <w:szCs w:val="21"/>
          <w:highlight w:val="yellow"/>
          <w:u w:val="single"/>
          <w:lang w:val="en-US" w:eastAsia="zh-CN"/>
        </w:rPr>
        <w:t>境内</w:t>
      </w:r>
      <w:r>
        <w:rPr>
          <w:rFonts w:hint="eastAsia" w:ascii="Times New Roman" w:hAnsi="Times New Roman" w:eastAsia="宋体" w:cs="Times New Roman"/>
          <w:b/>
          <w:bCs/>
          <w:color w:val="auto"/>
          <w:sz w:val="21"/>
          <w:szCs w:val="21"/>
          <w:highlight w:val="yellow"/>
          <w:u w:val="single"/>
          <w:lang w:val="en-US" w:eastAsia="zh-CN"/>
        </w:rPr>
        <w:t>，包括肥西县</w:t>
      </w:r>
      <w:r>
        <w:rPr>
          <w:rFonts w:hint="default" w:ascii="Times New Roman" w:hAnsi="Times New Roman" w:eastAsia="宋体" w:cs="Times New Roman"/>
          <w:b/>
          <w:bCs/>
          <w:color w:val="auto"/>
          <w:sz w:val="21"/>
          <w:szCs w:val="21"/>
          <w:highlight w:val="yellow"/>
          <w:u w:val="single"/>
          <w:lang w:val="en-US" w:eastAsia="zh-CN"/>
        </w:rPr>
        <w:t>、</w:t>
      </w:r>
      <w:r>
        <w:rPr>
          <w:rFonts w:hint="eastAsia" w:ascii="Times New Roman" w:hAnsi="Times New Roman" w:eastAsia="宋体" w:cs="Times New Roman"/>
          <w:b/>
          <w:bCs/>
          <w:color w:val="auto"/>
          <w:sz w:val="21"/>
          <w:szCs w:val="21"/>
          <w:highlight w:val="yellow"/>
          <w:u w:val="single"/>
          <w:lang w:val="en-US" w:eastAsia="zh-CN"/>
        </w:rPr>
        <w:t>肥东县</w:t>
      </w:r>
      <w:r>
        <w:rPr>
          <w:rFonts w:hint="default" w:ascii="Times New Roman" w:hAnsi="Times New Roman" w:eastAsia="宋体" w:cs="Times New Roman"/>
          <w:b/>
          <w:bCs/>
          <w:color w:val="auto"/>
          <w:sz w:val="21"/>
          <w:szCs w:val="21"/>
          <w:highlight w:val="yellow"/>
          <w:u w:val="single"/>
          <w:lang w:val="en-US" w:eastAsia="zh-CN"/>
        </w:rPr>
        <w:t>、</w:t>
      </w:r>
      <w:r>
        <w:rPr>
          <w:rFonts w:hint="eastAsia" w:ascii="Times New Roman" w:hAnsi="Times New Roman" w:eastAsia="宋体" w:cs="Times New Roman"/>
          <w:b/>
          <w:bCs/>
          <w:color w:val="auto"/>
          <w:sz w:val="21"/>
          <w:szCs w:val="21"/>
          <w:highlight w:val="yellow"/>
          <w:u w:val="single"/>
          <w:lang w:val="en-US" w:eastAsia="zh-CN"/>
        </w:rPr>
        <w:t>庐江县</w:t>
      </w:r>
      <w:r>
        <w:rPr>
          <w:rFonts w:hint="default" w:ascii="Times New Roman" w:hAnsi="Times New Roman" w:eastAsia="宋体" w:cs="Times New Roman"/>
          <w:b/>
          <w:bCs/>
          <w:color w:val="auto"/>
          <w:sz w:val="21"/>
          <w:szCs w:val="21"/>
          <w:highlight w:val="yellow"/>
          <w:u w:val="single"/>
          <w:lang w:val="en-US" w:eastAsia="zh-CN"/>
        </w:rPr>
        <w:t>、</w:t>
      </w:r>
      <w:r>
        <w:rPr>
          <w:rFonts w:hint="eastAsia" w:ascii="Times New Roman" w:hAnsi="Times New Roman" w:eastAsia="宋体" w:cs="Times New Roman"/>
          <w:b/>
          <w:bCs/>
          <w:color w:val="auto"/>
          <w:sz w:val="21"/>
          <w:szCs w:val="21"/>
          <w:highlight w:val="yellow"/>
          <w:u w:val="single"/>
          <w:lang w:val="en-US" w:eastAsia="zh-CN"/>
        </w:rPr>
        <w:t>长丰县</w:t>
      </w:r>
      <w:r>
        <w:rPr>
          <w:rFonts w:hint="default" w:ascii="Times New Roman" w:hAnsi="Times New Roman" w:eastAsia="宋体" w:cs="Times New Roman"/>
          <w:b/>
          <w:bCs/>
          <w:color w:val="auto"/>
          <w:sz w:val="21"/>
          <w:szCs w:val="21"/>
          <w:highlight w:val="yellow"/>
          <w:u w:val="single"/>
          <w:lang w:val="en-US" w:eastAsia="zh-CN"/>
        </w:rPr>
        <w:t>、</w:t>
      </w:r>
      <w:r>
        <w:rPr>
          <w:rFonts w:hint="eastAsia" w:ascii="Times New Roman" w:hAnsi="Times New Roman" w:eastAsia="宋体" w:cs="Times New Roman"/>
          <w:b/>
          <w:bCs/>
          <w:color w:val="auto"/>
          <w:sz w:val="21"/>
          <w:szCs w:val="21"/>
          <w:highlight w:val="yellow"/>
          <w:u w:val="single"/>
          <w:lang w:val="en-US" w:eastAsia="zh-CN"/>
        </w:rPr>
        <w:t>巢湖市的</w:t>
      </w:r>
      <w:r>
        <w:rPr>
          <w:rFonts w:hint="default" w:ascii="Times New Roman" w:hAnsi="Times New Roman" w:eastAsia="宋体" w:cs="Times New Roman"/>
          <w:b/>
          <w:bCs/>
          <w:color w:val="auto"/>
          <w:sz w:val="21"/>
          <w:szCs w:val="21"/>
          <w:highlight w:val="yellow"/>
          <w:u w:val="single"/>
          <w:lang w:val="en-US" w:eastAsia="zh-CN"/>
        </w:rPr>
        <w:t>酒店、学校、公寓楼、高速公路沿线服务区、收费站等房建工程</w:t>
      </w:r>
      <w:r>
        <w:rPr>
          <w:rFonts w:hint="eastAsia" w:ascii="Times New Roman" w:hAnsi="Times New Roman" w:eastAsia="宋体" w:cs="Times New Roman"/>
          <w:b/>
          <w:bCs/>
          <w:color w:val="auto"/>
          <w:sz w:val="21"/>
          <w:szCs w:val="21"/>
          <w:highlight w:val="yellow"/>
          <w:u w:val="single"/>
          <w:lang w:val="en-US" w:eastAsia="zh-CN"/>
        </w:rPr>
        <w:t>供应</w:t>
      </w:r>
      <w:r>
        <w:rPr>
          <w:rFonts w:hint="eastAsia" w:ascii="Times New Roman" w:hAnsi="Times New Roman" w:eastAsia="宋体" w:cs="Times New Roman"/>
          <w:b/>
          <w:bCs/>
          <w:color w:val="000000" w:themeColor="text1"/>
          <w:sz w:val="21"/>
          <w:szCs w:val="21"/>
          <w:highlight w:val="yellow"/>
          <w:u w:val="single"/>
          <w:lang w:val="en-US" w:eastAsia="zh-CN"/>
          <w14:textFill>
            <w14:solidFill>
              <w14:schemeClr w14:val="tx1"/>
            </w14:solidFill>
          </w14:textFill>
        </w:rPr>
        <w:t>蒸压加气混凝土砌块</w:t>
      </w:r>
      <w:r>
        <w:rPr>
          <w:rFonts w:hint="default" w:ascii="Times New Roman" w:hAnsi="Times New Roman" w:eastAsia="宋体" w:cs="Times New Roman"/>
          <w:b/>
          <w:bCs/>
          <w:color w:val="auto"/>
          <w:sz w:val="21"/>
          <w:szCs w:val="21"/>
          <w:highlight w:val="yellow"/>
          <w:u w:val="single"/>
          <w:lang w:val="en-US" w:eastAsia="zh-CN"/>
        </w:rPr>
        <w:t>。</w:t>
      </w:r>
      <w:r>
        <w:rPr>
          <w:rFonts w:hint="eastAsia" w:ascii="Times New Roman" w:hAnsi="Times New Roman" w:eastAsia="宋体" w:cs="Times New Roman"/>
          <w:b/>
          <w:bCs/>
          <w:color w:val="000000" w:themeColor="text1"/>
          <w:sz w:val="21"/>
          <w:szCs w:val="21"/>
          <w:highlight w:val="yellow"/>
          <w:u w:val="single"/>
          <w:lang w:val="en-US" w:eastAsia="zh-CN"/>
          <w14:textFill>
            <w14:solidFill>
              <w14:schemeClr w14:val="tx1"/>
            </w14:solidFill>
          </w14:textFill>
        </w:rPr>
        <w:t>供应商需结合项目特征、供应量、配送距离、运输时效等因素综合考虑报价。</w:t>
      </w:r>
    </w:p>
    <w:p w14:paraId="4C504C2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8" w:name="_Toc17858_WPSOffice_Level2"/>
      <w:bookmarkStart w:id="9" w:name="_Toc10274"/>
      <w:bookmarkStart w:id="10" w:name="_Toc23266_WPSOffice_Level2"/>
      <w:bookmarkStart w:id="11" w:name="_Toc8128_WPSOffice_Level2"/>
      <w:bookmarkStart w:id="12" w:name="_Toc18453"/>
      <w:bookmarkStart w:id="13" w:name="_Toc525632586"/>
      <w:bookmarkStart w:id="14" w:name="_Toc18367_WPSOffice_Level2"/>
      <w:r>
        <w:rPr>
          <w:rFonts w:hint="eastAsia" w:ascii="Times New Roman" w:hAnsi="Times New Roman" w:eastAsia="黑体" w:cs="Times New Roman"/>
          <w:b w:val="0"/>
          <w:bCs/>
          <w:color w:val="auto"/>
          <w:sz w:val="22"/>
          <w:szCs w:val="15"/>
          <w:highlight w:val="none"/>
          <w:lang w:val="en-US" w:eastAsia="zh-CN"/>
        </w:rPr>
        <w:t>2.</w:t>
      </w:r>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C69CAE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2.3 品牌范围：</w:t>
      </w:r>
      <w:r>
        <w:rPr>
          <w:rFonts w:hint="eastAsia" w:ascii="Times New Roman" w:hAnsi="Times New Roman" w:eastAsia="宋体" w:cs="Times New Roman"/>
          <w:color w:val="auto"/>
          <w:szCs w:val="21"/>
          <w:highlight w:val="none"/>
          <w:u w:val="single"/>
          <w:lang w:val="en-US" w:eastAsia="zh-CN"/>
        </w:rPr>
        <w:t>无。</w:t>
      </w:r>
    </w:p>
    <w:p w14:paraId="7FB7ADE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采购</w:t>
      </w:r>
      <w:r>
        <w:rPr>
          <w:rFonts w:hint="eastAsia" w:ascii="Times New Roman" w:hAnsi="Times New Roman" w:eastAsia="宋体" w:cs="Times New Roman"/>
          <w:color w:val="auto"/>
          <w:szCs w:val="21"/>
          <w:highlight w:val="none"/>
          <w:lang w:val="en-US" w:eastAsia="zh-CN"/>
        </w:rPr>
        <w:t>内容</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u w:val="single"/>
          <w:lang w:val="en-US" w:eastAsia="zh-CN"/>
        </w:rPr>
        <w:t>安徽省经工物资有限公司</w:t>
      </w:r>
      <w:r>
        <w:rPr>
          <w:rFonts w:hint="eastAsia" w:ascii="Times New Roman" w:hAnsi="Times New Roman" w:eastAsia="宋体" w:cs="Times New Roman"/>
          <w:color w:val="auto"/>
          <w:szCs w:val="21"/>
          <w:highlight w:val="none"/>
          <w:u w:val="single"/>
          <w:lang w:val="en-US" w:eastAsia="zh-CN"/>
        </w:rPr>
        <w:t>蒸压加气混凝土砌块年度采购，采购期1年</w:t>
      </w:r>
      <w:r>
        <w:rPr>
          <w:rFonts w:hint="default" w:ascii="Times New Roman" w:hAnsi="Times New Roman" w:eastAsia="宋体" w:cs="Times New Roman"/>
          <w:color w:val="auto"/>
          <w:szCs w:val="21"/>
          <w:highlight w:val="none"/>
          <w:u w:val="single"/>
          <w:lang w:val="en-US" w:eastAsia="zh-CN"/>
        </w:rPr>
        <w:t>。</w:t>
      </w:r>
    </w:p>
    <w:p w14:paraId="233CAE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eastAsia" w:ascii="Times New Roman" w:hAnsi="Times New Roman" w:eastAsia="宋体" w:cs="Times New Roman"/>
          <w:color w:val="auto"/>
          <w:szCs w:val="21"/>
          <w:highlight w:val="none"/>
          <w:u w:val="none"/>
          <w:lang w:val="en-US" w:eastAsia="zh-CN"/>
        </w:rPr>
        <w:t xml:space="preserve">。                          </w:t>
      </w:r>
    </w:p>
    <w:p w14:paraId="249A0FCA">
      <w:pPr>
        <w:pStyle w:val="8"/>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eastAsia="宋体" w:cs="Times New Roman"/>
          <w:color w:val="auto"/>
          <w:kern w:val="2"/>
          <w:sz w:val="21"/>
          <w:szCs w:val="21"/>
          <w:highlight w:val="yellow"/>
          <w:u w:val="singl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2.6采购限价：</w:t>
      </w:r>
      <w:r>
        <w:rPr>
          <w:rFonts w:hint="eastAsia" w:ascii="Times New Roman" w:hAnsi="Times New Roman" w:eastAsia="宋体" w:cs="Times New Roman"/>
          <w:color w:val="auto"/>
          <w:kern w:val="2"/>
          <w:sz w:val="21"/>
          <w:szCs w:val="21"/>
          <w:highlight w:val="yellow"/>
          <w:u w:val="single"/>
          <w:lang w:val="en-US" w:eastAsia="zh-CN" w:bidi="ar-SA"/>
        </w:rPr>
        <w:t>人民币</w:t>
      </w:r>
      <w:r>
        <w:rPr>
          <w:rFonts w:hint="eastAsia" w:ascii="Times New Roman" w:hAnsi="Times New Roman" w:eastAsia="宋体" w:cs="Times New Roman"/>
          <w:color w:val="000000" w:themeColor="text1"/>
          <w:kern w:val="2"/>
          <w:sz w:val="21"/>
          <w:szCs w:val="21"/>
          <w:highlight w:val="yellow"/>
          <w:u w:val="single"/>
          <w:lang w:val="en-US" w:eastAsia="zh-CN" w:bidi="ar-SA"/>
          <w14:textFill>
            <w14:solidFill>
              <w14:schemeClr w14:val="tx1"/>
            </w14:solidFill>
          </w14:textFill>
        </w:rPr>
        <w:t>552.8万元，</w:t>
      </w:r>
      <w:r>
        <w:rPr>
          <w:rFonts w:hint="eastAsia" w:ascii="Times New Roman" w:hAnsi="Times New Roman" w:eastAsia="宋体" w:cs="Times New Roman"/>
          <w:color w:val="auto"/>
          <w:kern w:val="2"/>
          <w:sz w:val="21"/>
          <w:szCs w:val="21"/>
          <w:highlight w:val="yellow"/>
          <w:u w:val="single"/>
          <w:lang w:val="en-US" w:eastAsia="zh-CN" w:bidi="ar-SA"/>
        </w:rPr>
        <w:t>响应单位总报价及单项报价若超过控制价，响应文件做无效处理。</w:t>
      </w:r>
    </w:p>
    <w:bookmarkEnd w:id="17"/>
    <w:p w14:paraId="345F7319">
      <w:pPr>
        <w:pStyle w:val="3"/>
        <w:keepNext/>
        <w:keepLines/>
        <w:pageBreakBefore w:val="0"/>
        <w:widowControl w:val="0"/>
        <w:numPr>
          <w:ilvl w:val="0"/>
          <w:numId w:val="0"/>
        </w:numPr>
        <w:kinsoku/>
        <w:wordWrap/>
        <w:overflowPunct/>
        <w:topLinePunct w:val="0"/>
        <w:autoSpaceDE/>
        <w:autoSpaceDN/>
        <w:bidi w:val="0"/>
        <w:adjustRightInd/>
        <w:snapToGrid w:val="0"/>
        <w:spacing w:line="440" w:lineRule="exact"/>
        <w:ind w:left="0" w:leftChars="0" w:firstLine="420" w:firstLineChars="200"/>
        <w:textAlignment w:val="auto"/>
        <w:rPr>
          <w:rFonts w:hint="default" w:ascii="Times New Roman" w:hAnsi="Times New Roman" w:eastAsia="黑体" w:cs="Times New Roman"/>
          <w:b w:val="0"/>
          <w:bCs/>
          <w:color w:val="auto"/>
          <w:sz w:val="22"/>
          <w:szCs w:val="15"/>
          <w:highlight w:val="yellow"/>
          <w:lang w:val="en-US" w:eastAsia="zh-CN"/>
        </w:rPr>
      </w:pPr>
      <w:bookmarkStart w:id="18" w:name="_Toc525632589"/>
      <w:bookmarkStart w:id="19" w:name="_Toc726"/>
      <w:r>
        <w:rPr>
          <w:rFonts w:hint="eastAsia" w:ascii="Times New Roman" w:hAnsi="Times New Roman" w:eastAsia="宋体" w:cs="Times New Roman"/>
          <w:b/>
          <w:bCs/>
          <w:color w:val="000000" w:themeColor="text1"/>
          <w:kern w:val="2"/>
          <w:sz w:val="21"/>
          <w:szCs w:val="21"/>
          <w:highlight w:val="none"/>
          <w:u w:val="single"/>
          <w:lang w:val="en-US" w:eastAsia="zh-CN" w:bidi="ar-SA"/>
          <w14:textFill>
            <w14:solidFill>
              <w14:schemeClr w14:val="tx1"/>
            </w14:solidFill>
          </w14:textFill>
        </w:rPr>
        <w:t>注：</w:t>
      </w:r>
      <w:r>
        <w:rPr>
          <w:rFonts w:hint="eastAsia" w:ascii="Times New Roman" w:hAnsi="Times New Roman" w:eastAsia="宋体" w:cs="Times New Roman"/>
          <w:color w:val="auto"/>
          <w:kern w:val="2"/>
          <w:sz w:val="21"/>
          <w:szCs w:val="21"/>
          <w:highlight w:val="yellow"/>
          <w:u w:val="single"/>
          <w:lang w:val="en-US" w:eastAsia="zh-CN" w:bidi="ar-SA"/>
        </w:rPr>
        <w:t>本次采购拟选2家年度供应单位，即入围报价环节价格最低的前二名。报价第二低的单位须响应报价最低的单位的价格，如不能响应，将由采购人按候选人名次顺延备选供应单位。报价最低的单位将作为该年度内主要供应单位，另一家作为备选单位，2家年度供应单位共同保障采购人该年度内的项目供应。</w:t>
      </w:r>
    </w:p>
    <w:p w14:paraId="52A285C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3.</w:t>
      </w:r>
      <w:r>
        <w:rPr>
          <w:rFonts w:hint="default" w:ascii="Times New Roman" w:hAnsi="Times New Roman" w:eastAsia="黑体" w:cs="Times New Roman"/>
          <w:b w:val="0"/>
          <w:bCs/>
          <w:color w:val="auto"/>
          <w:sz w:val="22"/>
          <w:szCs w:val="15"/>
          <w:highlight w:val="none"/>
          <w:lang w:val="en-US" w:eastAsia="zh-CN"/>
        </w:rPr>
        <w:t>供应商资格条件</w:t>
      </w:r>
    </w:p>
    <w:p w14:paraId="7E093591">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04934F44">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（1）资质最低要求：</w:t>
      </w:r>
    </w:p>
    <w:p w14:paraId="5BB552C7">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none"/>
        </w:rPr>
      </w:pPr>
      <w:r>
        <w:rPr>
          <w:rFonts w:hint="eastAsia" w:ascii="Times New Roman" w:hAnsi="Times New Roman"/>
          <w:color w:val="auto"/>
          <w:sz w:val="21"/>
          <w:szCs w:val="22"/>
          <w:highlight w:val="none"/>
        </w:rPr>
        <w:t xml:space="preserve">具备独立法人资格，持有有效的营业执照。   </w:t>
      </w:r>
    </w:p>
    <w:p w14:paraId="31F34755">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（2）业绩要求：</w:t>
      </w:r>
    </w:p>
    <w:p w14:paraId="3536C233">
      <w:pPr>
        <w:numPr>
          <w:ilvl w:val="0"/>
          <w:numId w:val="0"/>
        </w:numPr>
        <w:snapToGrid w:val="0"/>
        <w:spacing w:beforeLines="0" w:afterLines="0" w:line="400" w:lineRule="exact"/>
        <w:ind w:firstLine="420" w:firstLineChars="200"/>
        <w:rPr>
          <w:rFonts w:hint="eastAsia" w:ascii="Times New Roman" w:hAnsi="Times New Roman"/>
          <w:b/>
          <w:bCs/>
          <w:color w:val="auto"/>
          <w:sz w:val="21"/>
          <w:szCs w:val="22"/>
          <w:highlight w:val="yellow"/>
          <w:lang w:val="en-US" w:eastAsia="zh-CN"/>
        </w:rPr>
      </w:pPr>
      <w:r>
        <w:rPr>
          <w:rFonts w:hint="eastAsia" w:ascii="Times New Roman" w:hAnsi="Times New Roman"/>
          <w:color w:val="auto"/>
          <w:sz w:val="21"/>
          <w:szCs w:val="22"/>
          <w:highlight w:val="yellow"/>
          <w:lang w:val="en-US" w:eastAsia="zh-CN"/>
        </w:rPr>
        <w:t>提供2022年1月1日（以合同签订时间为准）以来</w:t>
      </w:r>
      <w:r>
        <w:rPr>
          <w:rFonts w:hint="eastAsia" w:ascii="Times New Roman" w:hAnsi="Times New Roman"/>
          <w:b w:val="0"/>
          <w:bCs w:val="0"/>
          <w:color w:val="auto"/>
          <w:sz w:val="21"/>
          <w:szCs w:val="22"/>
          <w:highlight w:val="yellow"/>
          <w:lang w:val="en-US" w:eastAsia="zh-CN"/>
        </w:rPr>
        <w:t>，</w:t>
      </w:r>
      <w:r>
        <w:rPr>
          <w:rFonts w:hint="eastAsia" w:ascii="Times New Roman" w:hAnsi="Times New Roman"/>
          <w:b/>
          <w:bCs/>
          <w:color w:val="auto"/>
          <w:sz w:val="21"/>
          <w:szCs w:val="22"/>
          <w:highlight w:val="yellow"/>
          <w:lang w:val="en-US" w:eastAsia="zh-CN"/>
        </w:rPr>
        <w:t>任一年度内</w:t>
      </w:r>
      <w:r>
        <w:rPr>
          <w:rFonts w:hint="eastAsia" w:ascii="Times New Roman" w:hAnsi="Times New Roman"/>
          <w:b w:val="0"/>
          <w:bCs w:val="0"/>
          <w:color w:val="auto"/>
          <w:sz w:val="21"/>
          <w:szCs w:val="22"/>
          <w:highlight w:val="yellow"/>
          <w:lang w:val="en-US" w:eastAsia="zh-CN"/>
        </w:rPr>
        <w:t>累计合同额不</w:t>
      </w:r>
      <w:r>
        <w:rPr>
          <w:rFonts w:hint="eastAsia" w:ascii="Times New Roman" w:hAnsi="Times New Roman"/>
          <w:color w:val="auto"/>
          <w:sz w:val="21"/>
          <w:szCs w:val="22"/>
          <w:highlight w:val="yellow"/>
          <w:lang w:val="en-US" w:eastAsia="zh-CN"/>
        </w:rPr>
        <w:t>低于300万的蒸压加气混凝土砌块供应合同业绩，</w:t>
      </w:r>
      <w:r>
        <w:rPr>
          <w:rFonts w:hint="eastAsia" w:ascii="Times New Roman" w:hAnsi="Times New Roman"/>
          <w:b/>
          <w:bCs/>
          <w:color w:val="auto"/>
          <w:sz w:val="21"/>
          <w:szCs w:val="22"/>
          <w:highlight w:val="yellow"/>
          <w:lang w:val="en-US" w:eastAsia="zh-CN"/>
        </w:rPr>
        <w:t>每个业绩至少提供不低于合同金额50%的增值税发票（或提供不低于资格审查要求业绩金额的增值税发票），未提供或提供发票金额不足的，该业绩无效。</w:t>
      </w:r>
    </w:p>
    <w:p w14:paraId="4716735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业绩证明材料要求：</w:t>
      </w:r>
    </w:p>
    <w:p w14:paraId="0D5E642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①合同协议书复印件；</w:t>
      </w:r>
    </w:p>
    <w:p w14:paraId="0119511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②若合同协议书中不能明确反映出采购文件所要求内容的（如合同金额、合同签订时间、供货内容等），则须提供业主单位（甲方）出具加盖公章的证明材料复印件。</w:t>
      </w:r>
    </w:p>
    <w:p w14:paraId="446BFB3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3FF7C80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（3）信誉要求：</w:t>
      </w:r>
    </w:p>
    <w:p w14:paraId="5616E4FA">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①未被责令停业，暂扣或吊销执照，或吊销资质证书；</w:t>
      </w:r>
    </w:p>
    <w:p w14:paraId="729BF42F">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②未进入清算程序，或被宣告破产，或其他丧失履约能力的情形；</w:t>
      </w:r>
    </w:p>
    <w:p w14:paraId="40636F4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③在国家企业信用信息公示系统（www.gsxt.gov.cn）中未被列入严重违法失信企业名单；</w:t>
      </w:r>
    </w:p>
    <w:p w14:paraId="50C4ACF2">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④在“信用中国”网站（www.creditchina.gov.cn）中未被列入失信被执行人名单；</w:t>
      </w:r>
    </w:p>
    <w:p w14:paraId="3336E24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⑤在近三年内（自响应文件递交截止之日向前追溯3年）供应商或其法定代表人、拟委任的项目经理（如有）未有行贿犯罪行为。</w:t>
      </w:r>
    </w:p>
    <w:p w14:paraId="01CE7208">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⑥其他要求：  /  。</w:t>
      </w:r>
    </w:p>
    <w:p w14:paraId="3C38B5B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3.2 联合体：本次采购不接受联合体报价。</w:t>
      </w:r>
    </w:p>
    <w:p w14:paraId="0B9D6A2A">
      <w:pPr>
        <w:numPr>
          <w:ilvl w:val="0"/>
          <w:numId w:val="0"/>
        </w:numPr>
        <w:snapToGrid w:val="0"/>
        <w:spacing w:beforeLines="0" w:afterLines="0" w:line="400" w:lineRule="exact"/>
        <w:ind w:firstLine="420" w:firstLineChars="200"/>
        <w:rPr>
          <w:rFonts w:hint="default" w:ascii="宋体" w:hAnsi="宋体" w:cs="宋体" w:eastAsiaTheme="minorEastAsia"/>
          <w:color w:val="auto"/>
          <w:sz w:val="21"/>
          <w:szCs w:val="22"/>
          <w:highlight w:val="none"/>
          <w:lang w:val="en-US" w:eastAsia="zh-CN"/>
        </w:rPr>
      </w:pPr>
      <w:r>
        <w:rPr>
          <w:rFonts w:hint="eastAsia" w:ascii="Times New Roman" w:hAnsi="Times New Roman"/>
          <w:color w:val="auto"/>
          <w:sz w:val="21"/>
          <w:szCs w:val="22"/>
        </w:rPr>
        <w:t>3.3 单位负责人为同一人或者存在控股、管理关系的不同单位，不得同时参加同一合同包报价，否则相关响应文件均无效。</w:t>
      </w:r>
    </w:p>
    <w:bookmarkEnd w:id="18"/>
    <w:bookmarkEnd w:id="19"/>
    <w:p w14:paraId="71855793">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20" w:name="_Toc2996_WPSOffice_Level2"/>
      <w:bookmarkStart w:id="21" w:name="_Toc4109_WPSOffice_Level2"/>
      <w:bookmarkStart w:id="22" w:name="_Toc525632588"/>
      <w:bookmarkStart w:id="23" w:name="_Toc29452_WPSOffice_Level2"/>
      <w:bookmarkStart w:id="24" w:name="_Toc1994"/>
      <w:bookmarkStart w:id="25" w:name="_Toc25666_WPSOffice_Level2"/>
      <w:bookmarkStart w:id="26" w:name="_Toc4751"/>
      <w:bookmarkStart w:id="27" w:name="_Toc525632591"/>
      <w:bookmarkStart w:id="28" w:name="_Toc22719"/>
      <w:r>
        <w:rPr>
          <w:rFonts w:hint="eastAsia" w:ascii="Times New Roman" w:hAnsi="Times New Roman" w:eastAsia="黑体" w:cs="Times New Roman"/>
          <w:b w:val="0"/>
          <w:bCs/>
          <w:color w:val="auto"/>
          <w:sz w:val="22"/>
          <w:szCs w:val="15"/>
          <w:highlight w:val="none"/>
          <w:lang w:val="en-US" w:eastAsia="zh-CN"/>
        </w:rPr>
        <w:t>4.</w:t>
      </w:r>
      <w:r>
        <w:rPr>
          <w:rFonts w:hint="default" w:ascii="Times New Roman" w:hAnsi="Times New Roman" w:eastAsia="黑体" w:cs="Times New Roman"/>
          <w:b w:val="0"/>
          <w:bCs/>
          <w:color w:val="auto"/>
          <w:sz w:val="22"/>
          <w:szCs w:val="15"/>
          <w:highlight w:val="none"/>
          <w:lang w:val="en-US" w:eastAsia="zh-CN"/>
        </w:rPr>
        <w:t>询比文件的获取</w:t>
      </w:r>
      <w:bookmarkEnd w:id="20"/>
      <w:bookmarkEnd w:id="21"/>
      <w:bookmarkEnd w:id="22"/>
      <w:bookmarkEnd w:id="23"/>
      <w:bookmarkEnd w:id="24"/>
      <w:bookmarkEnd w:id="25"/>
      <w:bookmarkEnd w:id="26"/>
    </w:p>
    <w:p w14:paraId="12DA699F">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rPr>
      </w:pPr>
      <w:r>
        <w:rPr>
          <w:rFonts w:hint="eastAsia" w:ascii="Times New Roman" w:hAnsi="Times New Roman"/>
          <w:color w:val="auto"/>
          <w:sz w:val="21"/>
          <w:szCs w:val="22"/>
        </w:rPr>
        <w:t>供应商应在递交响应文件的截止时间前登录“安徽交控招采平台”（网址：zcpt.ahjkjt.com）、“安徽交控建设工程集团有限公司”（网址：www.ahjggroup.com），自行下载询比文件及相关资料。未按规定下载采购文件的，后续将不予接受其响应文件。</w:t>
      </w:r>
    </w:p>
    <w:p w14:paraId="2B7E881E">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rPr>
      </w:pPr>
      <w:r>
        <w:rPr>
          <w:rFonts w:hint="eastAsia" w:ascii="Times New Roman" w:hAnsi="Times New Roman"/>
          <w:color w:val="auto"/>
          <w:sz w:val="21"/>
          <w:szCs w:val="22"/>
        </w:rPr>
        <w:t>注意事项：</w:t>
      </w:r>
    </w:p>
    <w:p w14:paraId="5E6AA1CC">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rPr>
      </w:pPr>
      <w:r>
        <w:rPr>
          <w:rFonts w:hint="eastAsia" w:ascii="Times New Roman" w:hAnsi="Times New Roman"/>
          <w:color w:val="auto"/>
          <w:sz w:val="21"/>
          <w:szCs w:val="22"/>
        </w:rPr>
        <w:t>（1）潜在供应商登陆“安徽交控招采平台”（网址：zcpt.ahjkjt.com）参与本项目的。</w:t>
      </w:r>
    </w:p>
    <w:p w14:paraId="4CF6B4A8">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rPr>
      </w:pPr>
      <w:r>
        <w:rPr>
          <w:rFonts w:hint="eastAsia" w:ascii="Times New Roman" w:hAnsi="Times New Roman"/>
          <w:color w:val="auto"/>
          <w:sz w:val="21"/>
          <w:szCs w:val="22"/>
        </w:rPr>
        <w:t>①首次登陆须办理注册手续，请务必选择注册为“供应商”类型。注册流程见安徽交控招采平台“用户注册”栏目，咨询电话：010-86392341。因未及时办理注册手续影响参加采购活动的，责任自负。</w:t>
      </w:r>
    </w:p>
    <w:p w14:paraId="52172E57">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rPr>
      </w:pPr>
      <w:r>
        <w:rPr>
          <w:rFonts w:hint="eastAsia" w:ascii="Times New Roman" w:hAnsi="Times New Roman"/>
          <w:color w:val="auto"/>
          <w:sz w:val="21"/>
          <w:szCs w:val="22"/>
        </w:rPr>
        <w:t>②已注册的潜在供应商可登录安徽交控招采平台直接获取采购文件。本项目的采购文件及其他资料（含澄清、答疑及相关补充文件）通过安徽交控招采平台发布，采购人/代理机构不再另行书面通知，潜在供应商应及时关注、查阅安徽交控招采平台。因未及时查看导致不利后果的，责任自负。</w:t>
      </w:r>
    </w:p>
    <w:p w14:paraId="298E46C7">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rPr>
      </w:pPr>
      <w:r>
        <w:rPr>
          <w:rFonts w:hint="eastAsia" w:ascii="Times New Roman" w:hAnsi="Times New Roman"/>
          <w:color w:val="auto"/>
          <w:sz w:val="21"/>
          <w:szCs w:val="22"/>
        </w:rPr>
        <w:t>③已注册的潜在供应商若注册信息发生变更（如：与初始注册信息不一致），应及时网上提交变更申请。因未及时变更导致不利后果的，责任自负。</w:t>
      </w:r>
    </w:p>
    <w:p w14:paraId="5A76410D">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r>
        <w:rPr>
          <w:rFonts w:hint="eastAsia" w:ascii="Times New Roman" w:hAnsi="Times New Roman"/>
          <w:color w:val="auto"/>
          <w:sz w:val="21"/>
          <w:szCs w:val="22"/>
        </w:rPr>
        <w:t>（2）潜在供应商登陆“安徽交控建设工程集团有限公司”（网址：www.ahjggroup.com）参与本项目的。需在“招标公告”栏目了解项目信息、下载询价文件及其他资料（含澄清、答疑及相关补充文件）。咨询电话：0551-62265211。采购人不再另行书面通知，供应商应及时关注、查阅。因未及时查看导致不利后果的，责任自负。</w:t>
      </w:r>
    </w:p>
    <w:p w14:paraId="05B009D6">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5.</w:t>
      </w:r>
      <w:r>
        <w:rPr>
          <w:rFonts w:hint="default" w:ascii="Times New Roman" w:hAnsi="Times New Roman" w:eastAsia="黑体" w:cs="Times New Roman"/>
          <w:b w:val="0"/>
          <w:bCs/>
          <w:color w:val="auto"/>
          <w:sz w:val="22"/>
          <w:szCs w:val="15"/>
          <w:highlight w:val="none"/>
          <w:lang w:val="en-US" w:eastAsia="zh-CN"/>
        </w:rPr>
        <w:t>响应文件的递交</w:t>
      </w:r>
    </w:p>
    <w:p w14:paraId="13FB571B">
      <w:pPr>
        <w:widowControl/>
        <w:spacing w:line="400" w:lineRule="exact"/>
        <w:ind w:firstLine="420" w:firstLineChars="200"/>
        <w:rPr>
          <w:rFonts w:ascii="Times New Roman" w:hAnsi="Times New Roman" w:eastAsia="宋体" w:cs="Times New Roman"/>
          <w:color w:val="auto"/>
          <w:szCs w:val="22"/>
        </w:rPr>
      </w:pPr>
      <w:r>
        <w:rPr>
          <w:rFonts w:hint="eastAsia" w:ascii="宋体" w:hAnsi="宋体" w:eastAsia="宋体" w:cs="宋体"/>
          <w:color w:val="auto"/>
          <w:kern w:val="0"/>
          <w:szCs w:val="21"/>
          <w:highlight w:val="none"/>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 xml:space="preserve"> 2025 </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12 </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19 </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 xml:space="preserve"> 00 </w:t>
      </w:r>
      <w:r>
        <w:rPr>
          <w:rFonts w:hint="default" w:ascii="Times New Roman" w:hAnsi="Times New Roman" w:eastAsia="宋体" w:cs="Times New Roman"/>
          <w:b/>
          <w:bCs/>
          <w:color w:val="auto"/>
          <w:kern w:val="0"/>
          <w:sz w:val="21"/>
          <w:szCs w:val="21"/>
          <w:highlight w:val="none"/>
          <w:lang w:val="en-US" w:eastAsia="zh-CN" w:bidi="ar-SA"/>
        </w:rPr>
        <w:t>分</w:t>
      </w:r>
      <w:r>
        <w:rPr>
          <w:rFonts w:hint="eastAsia" w:ascii="宋体" w:hAnsi="宋体" w:eastAsia="宋体" w:cs="宋体"/>
          <w:color w:val="auto"/>
          <w:kern w:val="0"/>
          <w:szCs w:val="21"/>
          <w:highlight w:val="none"/>
        </w:rPr>
        <w:t>，供应商的</w:t>
      </w:r>
      <w:r>
        <w:rPr>
          <w:rFonts w:hint="eastAsia" w:ascii="宋体" w:hAnsi="宋体" w:eastAsia="宋体" w:cs="宋体"/>
          <w:color w:val="auto"/>
          <w:kern w:val="0"/>
          <w:szCs w:val="21"/>
        </w:rPr>
        <w:t>法定代表人或其授权代理人应在文件递交截止时间前，将响应文件递交至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w:t>
      </w:r>
      <w:r>
        <w:rPr>
          <w:rFonts w:hint="eastAsia" w:ascii="Times New Roman" w:hAnsi="Times New Roman" w:eastAsia="宋体" w:cs="Times New Roman"/>
          <w:color w:val="auto"/>
          <w:kern w:val="2"/>
          <w:sz w:val="21"/>
          <w:szCs w:val="21"/>
          <w:highlight w:val="none"/>
          <w:u w:val="single"/>
          <w:lang w:val="en-US" w:eastAsia="zh-CN" w:bidi="ar-SA"/>
        </w:rPr>
        <w:t>008</w:t>
      </w:r>
      <w:r>
        <w:rPr>
          <w:rFonts w:hint="default" w:ascii="Times New Roman" w:hAnsi="Times New Roman" w:eastAsia="宋体" w:cs="Times New Roman"/>
          <w:color w:val="auto"/>
          <w:kern w:val="2"/>
          <w:sz w:val="21"/>
          <w:szCs w:val="21"/>
          <w:highlight w:val="none"/>
          <w:u w:val="single"/>
          <w:lang w:val="en-US" w:eastAsia="zh-CN" w:bidi="ar-SA"/>
        </w:rPr>
        <w:t>室</w:t>
      </w:r>
      <w:r>
        <w:rPr>
          <w:rFonts w:hint="eastAsia" w:ascii="宋体" w:hAnsi="宋体" w:eastAsia="宋体" w:cs="宋体"/>
          <w:color w:val="auto"/>
          <w:szCs w:val="21"/>
        </w:rPr>
        <w:t>。</w:t>
      </w:r>
    </w:p>
    <w:p w14:paraId="31A21F31">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6.</w:t>
      </w:r>
      <w:r>
        <w:rPr>
          <w:rFonts w:hint="default" w:ascii="Times New Roman" w:hAnsi="Times New Roman" w:eastAsia="黑体" w:cs="Times New Roman"/>
          <w:b w:val="0"/>
          <w:bCs/>
          <w:color w:val="auto"/>
          <w:sz w:val="22"/>
          <w:szCs w:val="15"/>
          <w:highlight w:val="none"/>
          <w:lang w:val="en-US" w:eastAsia="zh-CN"/>
        </w:rPr>
        <w:t>响应文件启封</w:t>
      </w:r>
    </w:p>
    <w:p w14:paraId="2D55D5D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eastAsia"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响应文件的递交截止时间到后，采购人将于安徽省合肥市包河区西藏路1588号高速时代广场C1栋10楼1012室职工书屋（地点）现场组织进行响应文件的启封。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7.</w:t>
      </w: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5E9F5F5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u w:val="singl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2000元（大写：贰仟元整）</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yellow"/>
          <w:lang w:val="en-US" w:eastAsia="zh-CN" w:bidi="ar"/>
        </w:rPr>
      </w:pPr>
      <w:r>
        <w:rPr>
          <w:rFonts w:hint="eastAsia" w:ascii="宋体" w:hAnsi="宋体" w:eastAsia="宋体" w:cs="宋体"/>
          <w:b/>
          <w:bCs/>
          <w:color w:val="auto"/>
          <w:kern w:val="2"/>
          <w:sz w:val="21"/>
          <w:szCs w:val="21"/>
          <w:highlight w:val="yellow"/>
          <w:lang w:val="en-US" w:eastAsia="zh-CN" w:bidi="ar"/>
        </w:rPr>
        <w:t>付款备注：蒸压加气混凝土砌块响应保证金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宋体" w:hAnsi="宋体" w:cs="宋体"/>
          <w:color w:val="auto"/>
          <w:sz w:val="21"/>
          <w:szCs w:val="21"/>
          <w:lang w:bidi="ar"/>
        </w:rPr>
      </w:pPr>
      <w:r>
        <w:rPr>
          <w:rFonts w:hint="eastAsia" w:ascii="宋体" w:hAnsi="宋体" w:cs="宋体"/>
          <w:color w:val="auto"/>
          <w:sz w:val="21"/>
          <w:szCs w:val="21"/>
          <w:lang w:bidi="ar"/>
        </w:rPr>
        <w:t>②供应商账户汇入到上述账户，采购人不接受以个人名义或以现金形式提交的响应保证金。</w:t>
      </w:r>
    </w:p>
    <w:p w14:paraId="14E17961">
      <w:pPr>
        <w:spacing w:beforeLines="0" w:afterLines="0" w:line="440" w:lineRule="exact"/>
        <w:ind w:firstLine="420"/>
        <w:rPr>
          <w:rFonts w:hint="eastAsia" w:ascii="宋体" w:hAnsi="宋体" w:cs="宋体"/>
          <w:color w:val="auto"/>
          <w:sz w:val="21"/>
          <w:szCs w:val="21"/>
          <w:highlight w:val="yellow"/>
          <w:lang w:val="en-US" w:eastAsia="zh-CN" w:bidi="ar"/>
        </w:rPr>
      </w:pPr>
      <w:r>
        <w:rPr>
          <w:rFonts w:hint="eastAsia" w:ascii="宋体" w:hAnsi="宋体" w:cs="宋体"/>
          <w:color w:val="auto"/>
          <w:sz w:val="21"/>
          <w:szCs w:val="21"/>
          <w:highlight w:val="yellow"/>
          <w:lang w:val="en-US" w:eastAsia="zh-CN" w:bidi="ar"/>
        </w:rPr>
        <w:t>（2）成交候选人</w:t>
      </w:r>
      <w:r>
        <w:rPr>
          <w:rFonts w:hint="eastAsia" w:ascii="宋体" w:hAnsi="宋体" w:cs="宋体"/>
          <w:color w:val="auto"/>
          <w:sz w:val="21"/>
          <w:szCs w:val="21"/>
          <w:highlight w:val="yellow"/>
          <w:lang w:eastAsia="zh-CN" w:bidi="ar"/>
        </w:rPr>
        <w:t>公示后，</w:t>
      </w:r>
      <w:r>
        <w:rPr>
          <w:rFonts w:hint="eastAsia" w:ascii="宋体" w:hAnsi="宋体" w:cs="宋体"/>
          <w:color w:val="auto"/>
          <w:sz w:val="21"/>
          <w:szCs w:val="21"/>
          <w:highlight w:val="yellow"/>
          <w:lang w:val="en-US" w:eastAsia="zh-CN" w:bidi="ar"/>
        </w:rPr>
        <w:t>在框架协议签订前，主供应单位需向甲方支付2万元履约保证金或5万元见索即付银行保函，备选供应单位需向甲方支付具体项目合同总价2%的履约保证金或提供合同总价5%的见索即付银行保函。</w:t>
      </w:r>
    </w:p>
    <w:p w14:paraId="110D2E1A">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8.</w:t>
      </w: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639D388C">
      <w:pPr>
        <w:snapToGrid w:val="0"/>
        <w:spacing w:beforeLines="0" w:afterLines="0" w:line="440" w:lineRule="exact"/>
        <w:ind w:firstLine="420" w:firstLineChars="200"/>
        <w:rPr>
          <w:rFonts w:hint="default" w:ascii="Times New Roman" w:hAnsi="Times New Roman"/>
          <w:color w:val="auto"/>
          <w:sz w:val="21"/>
          <w:szCs w:val="22"/>
          <w:highlight w:val="none"/>
          <w:lang w:val="en-US" w:eastAsia="zh-CN"/>
        </w:rPr>
      </w:pPr>
      <w:bookmarkStart w:id="29" w:name="_Toc26829"/>
      <w:bookmarkStart w:id="30" w:name="_Toc8501"/>
      <w:bookmarkStart w:id="31" w:name="_Toc525632592"/>
      <w:bookmarkStart w:id="32" w:name="_Toc14943_WPSOffice_Level2"/>
      <w:bookmarkStart w:id="33" w:name="_Toc28571_WPSOffice_Level2"/>
      <w:bookmarkStart w:id="34" w:name="_Toc20572_WPSOffice_Level2"/>
      <w:bookmarkStart w:id="35" w:name="_Toc321_WPSOffice_Level2"/>
      <w:r>
        <w:rPr>
          <w:rFonts w:hint="eastAsia" w:ascii="Times New Roman" w:hAnsi="Times New Roman"/>
          <w:color w:val="auto"/>
          <w:sz w:val="21"/>
          <w:szCs w:val="22"/>
          <w:highlight w:val="none"/>
        </w:rPr>
        <w:t>本次采购公告同时在安徽交控招采平台（zcpt.ahjkjt.com）、安徽交控建设工程集团有限公司网站（www.ahjggroup.com）上发布，对于因其他网站转载并发布的非完整版或修改版公告，而导致误报名或无效报名的情形，采购人不予承担责任。</w:t>
      </w:r>
    </w:p>
    <w:p w14:paraId="1B57102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9.</w:t>
      </w: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采 购 人：</w:t>
      </w:r>
      <w:r>
        <w:rPr>
          <w:rFonts w:hint="eastAsia" w:ascii="Times New Roman" w:hAnsi="Times New Roman" w:eastAsia="宋体" w:cs="Times New Roman"/>
          <w:color w:val="auto"/>
          <w:sz w:val="21"/>
          <w:szCs w:val="21"/>
          <w:lang w:val="en-US"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433609CD">
      <w:pPr>
        <w:pStyle w:val="9"/>
        <w:rPr>
          <w:rFonts w:hint="eastAsia" w:ascii="宋体" w:hAnsi="宋体" w:eastAsia="宋体" w:cs="宋体"/>
          <w:color w:val="auto"/>
          <w:sz w:val="21"/>
          <w:szCs w:val="21"/>
          <w:highlight w:val="none"/>
          <w:u w:val="single"/>
          <w:lang w:val="en-US" w:eastAsia="zh-CN"/>
        </w:rPr>
      </w:pPr>
    </w:p>
    <w:p w14:paraId="3ED944E3">
      <w:pPr>
        <w:pStyle w:val="10"/>
        <w:rPr>
          <w:rFonts w:hint="eastAsia" w:ascii="宋体" w:hAnsi="宋体" w:eastAsia="宋体" w:cs="宋体"/>
          <w:color w:val="auto"/>
          <w:sz w:val="21"/>
          <w:szCs w:val="21"/>
          <w:highlight w:val="none"/>
          <w:u w:val="single"/>
          <w:lang w:val="en-US" w:eastAsia="zh-CN"/>
        </w:rPr>
      </w:pPr>
    </w:p>
    <w:p w14:paraId="45F6118C">
      <w:pPr>
        <w:rPr>
          <w:rFonts w:hint="eastAsia" w:ascii="宋体" w:hAnsi="宋体" w:eastAsia="宋体" w:cs="宋体"/>
          <w:color w:val="auto"/>
          <w:sz w:val="21"/>
          <w:szCs w:val="21"/>
          <w:highlight w:val="none"/>
          <w:u w:val="single"/>
          <w:lang w:val="en-US" w:eastAsia="zh-CN"/>
        </w:rPr>
      </w:pPr>
    </w:p>
    <w:p w14:paraId="522A74D7">
      <w:pPr>
        <w:rPr>
          <w:rFonts w:hint="eastAsia" w:ascii="宋体" w:hAnsi="宋体" w:eastAsia="宋体" w:cs="宋体"/>
          <w:color w:val="auto"/>
          <w:sz w:val="21"/>
          <w:szCs w:val="21"/>
          <w:highlight w:val="none"/>
          <w:u w:val="single"/>
          <w:lang w:val="en-US" w:eastAsia="zh-CN"/>
        </w:rPr>
      </w:pPr>
    </w:p>
    <w:p w14:paraId="2DC39139">
      <w:pPr>
        <w:rPr>
          <w:rFonts w:hint="eastAsia" w:ascii="宋体" w:hAnsi="宋体" w:eastAsia="宋体" w:cs="宋体"/>
          <w:color w:val="auto"/>
          <w:sz w:val="21"/>
          <w:szCs w:val="21"/>
          <w:highlight w:val="none"/>
          <w:u w:val="single"/>
          <w:lang w:val="en-US" w:eastAsia="zh-CN"/>
        </w:rPr>
      </w:pPr>
    </w:p>
    <w:p w14:paraId="01141519">
      <w:pPr>
        <w:rPr>
          <w:rFonts w:hint="eastAsia" w:ascii="宋体" w:hAnsi="宋体" w:eastAsia="宋体" w:cs="宋体"/>
          <w:color w:val="auto"/>
          <w:sz w:val="21"/>
          <w:szCs w:val="21"/>
          <w:highlight w:val="none"/>
          <w:u w:val="single"/>
          <w:lang w:val="en-US" w:eastAsia="zh-CN"/>
        </w:rPr>
      </w:pPr>
    </w:p>
    <w:p w14:paraId="27915EB4">
      <w:pPr>
        <w:rPr>
          <w:rFonts w:hint="eastAsia" w:ascii="宋体" w:hAnsi="宋体" w:eastAsia="宋体" w:cs="宋体"/>
          <w:color w:val="auto"/>
          <w:sz w:val="21"/>
          <w:szCs w:val="21"/>
          <w:highlight w:val="none"/>
          <w:u w:val="single"/>
          <w:lang w:val="en-US" w:eastAsia="zh-CN"/>
        </w:rPr>
      </w:pPr>
    </w:p>
    <w:p w14:paraId="6CB316B5">
      <w:pPr>
        <w:rPr>
          <w:rFonts w:hint="eastAsia" w:ascii="宋体" w:hAnsi="宋体" w:eastAsia="宋体" w:cs="宋体"/>
          <w:color w:val="auto"/>
          <w:sz w:val="21"/>
          <w:szCs w:val="21"/>
          <w:highlight w:val="none"/>
          <w:u w:val="single"/>
          <w:lang w:val="en-US" w:eastAsia="zh-CN"/>
        </w:rPr>
      </w:pPr>
    </w:p>
    <w:p w14:paraId="23FBD357">
      <w:pPr>
        <w:rPr>
          <w:rFonts w:hint="eastAsia" w:ascii="宋体" w:hAnsi="宋体" w:eastAsia="宋体" w:cs="宋体"/>
          <w:color w:val="auto"/>
          <w:sz w:val="21"/>
          <w:szCs w:val="21"/>
          <w:highlight w:val="none"/>
          <w:u w:val="single"/>
          <w:lang w:val="en-US" w:eastAsia="zh-CN"/>
        </w:rPr>
      </w:pPr>
    </w:p>
    <w:p w14:paraId="08CA1693">
      <w:pPr>
        <w:rPr>
          <w:rFonts w:hint="eastAsia" w:ascii="宋体" w:hAnsi="宋体" w:eastAsia="宋体" w:cs="宋体"/>
          <w:color w:val="auto"/>
          <w:sz w:val="21"/>
          <w:szCs w:val="21"/>
          <w:highlight w:val="none"/>
          <w:u w:val="single"/>
          <w:lang w:val="en-US" w:eastAsia="zh-CN"/>
        </w:rPr>
      </w:pPr>
    </w:p>
    <w:p w14:paraId="7148F299">
      <w:pPr>
        <w:rPr>
          <w:rFonts w:hint="eastAsia" w:ascii="宋体" w:hAnsi="宋体" w:eastAsia="宋体" w:cs="宋体"/>
          <w:color w:val="auto"/>
          <w:sz w:val="21"/>
          <w:szCs w:val="21"/>
          <w:highlight w:val="none"/>
          <w:u w:val="single"/>
          <w:lang w:val="en-US" w:eastAsia="zh-CN"/>
        </w:rPr>
      </w:pPr>
    </w:p>
    <w:p w14:paraId="7A3EA25D">
      <w:pPr>
        <w:rPr>
          <w:rFonts w:hint="eastAsia" w:ascii="宋体" w:hAnsi="宋体" w:eastAsia="宋体" w:cs="宋体"/>
          <w:color w:val="auto"/>
          <w:sz w:val="21"/>
          <w:szCs w:val="21"/>
          <w:highlight w:val="none"/>
          <w:u w:val="single"/>
          <w:lang w:val="en-US" w:eastAsia="zh-CN"/>
        </w:rPr>
      </w:pPr>
    </w:p>
    <w:p w14:paraId="7186D45E">
      <w:pPr>
        <w:rPr>
          <w:rFonts w:hint="eastAsia" w:ascii="宋体" w:hAnsi="宋体" w:eastAsia="宋体" w:cs="宋体"/>
          <w:color w:val="auto"/>
          <w:sz w:val="21"/>
          <w:szCs w:val="21"/>
          <w:highlight w:val="none"/>
          <w:u w:val="single"/>
          <w:lang w:val="en-US" w:eastAsia="zh-CN"/>
        </w:rPr>
      </w:pPr>
    </w:p>
    <w:p w14:paraId="6B8331C2">
      <w:pPr>
        <w:rPr>
          <w:rFonts w:hint="eastAsia" w:ascii="宋体" w:hAnsi="宋体" w:eastAsia="宋体" w:cs="宋体"/>
          <w:color w:val="auto"/>
          <w:sz w:val="21"/>
          <w:szCs w:val="21"/>
          <w:highlight w:val="none"/>
          <w:u w:val="single"/>
          <w:lang w:val="en-US" w:eastAsia="zh-CN"/>
        </w:rPr>
      </w:pPr>
    </w:p>
    <w:p w14:paraId="53C98F2A">
      <w:pPr>
        <w:rPr>
          <w:rFonts w:hint="eastAsia" w:ascii="宋体" w:hAnsi="宋体" w:eastAsia="宋体" w:cs="宋体"/>
          <w:color w:val="auto"/>
          <w:sz w:val="21"/>
          <w:szCs w:val="21"/>
          <w:highlight w:val="none"/>
          <w:u w:val="single"/>
          <w:lang w:val="en-US" w:eastAsia="zh-CN"/>
        </w:rPr>
      </w:pPr>
    </w:p>
    <w:p w14:paraId="287B6282">
      <w:pPr>
        <w:rPr>
          <w:rFonts w:hint="eastAsia" w:ascii="宋体" w:hAnsi="宋体" w:eastAsia="宋体" w:cs="宋体"/>
          <w:color w:val="auto"/>
          <w:sz w:val="21"/>
          <w:szCs w:val="21"/>
          <w:highlight w:val="none"/>
          <w:u w:val="single"/>
          <w:lang w:val="en-US" w:eastAsia="zh-CN"/>
        </w:rPr>
      </w:pPr>
    </w:p>
    <w:p w14:paraId="799C5E1C">
      <w:pPr>
        <w:rPr>
          <w:rFonts w:hint="eastAsia" w:ascii="宋体" w:hAnsi="宋体" w:eastAsia="宋体" w:cs="宋体"/>
          <w:color w:val="auto"/>
          <w:sz w:val="21"/>
          <w:szCs w:val="21"/>
          <w:highlight w:val="none"/>
          <w:u w:val="single"/>
          <w:lang w:val="en-US" w:eastAsia="zh-CN"/>
        </w:rPr>
      </w:pPr>
    </w:p>
    <w:p w14:paraId="26C257D5">
      <w:pPr>
        <w:rPr>
          <w:rFonts w:hint="eastAsia" w:ascii="宋体" w:hAnsi="宋体" w:eastAsia="宋体" w:cs="宋体"/>
          <w:color w:val="auto"/>
          <w:sz w:val="21"/>
          <w:szCs w:val="21"/>
          <w:highlight w:val="none"/>
          <w:u w:val="single"/>
          <w:lang w:val="en-US" w:eastAsia="zh-CN"/>
        </w:rPr>
      </w:pPr>
    </w:p>
    <w:p w14:paraId="42CDF98D">
      <w:pPr>
        <w:rPr>
          <w:rFonts w:hint="eastAsia" w:ascii="宋体" w:hAnsi="宋体" w:eastAsia="宋体" w:cs="宋体"/>
          <w:color w:val="auto"/>
          <w:sz w:val="21"/>
          <w:szCs w:val="21"/>
          <w:highlight w:val="none"/>
          <w:u w:val="single"/>
          <w:lang w:val="en-US" w:eastAsia="zh-CN"/>
        </w:rPr>
      </w:pPr>
    </w:p>
    <w:p w14:paraId="6A807D7F">
      <w:pPr>
        <w:rPr>
          <w:rFonts w:hint="eastAsia" w:ascii="宋体" w:hAnsi="宋体" w:eastAsia="宋体" w:cs="宋体"/>
          <w:color w:val="auto"/>
          <w:sz w:val="21"/>
          <w:szCs w:val="21"/>
          <w:highlight w:val="none"/>
          <w:u w:val="single"/>
          <w:lang w:val="en-US" w:eastAsia="zh-CN"/>
        </w:rPr>
      </w:pPr>
    </w:p>
    <w:p w14:paraId="3BB921AC">
      <w:pPr>
        <w:rPr>
          <w:rFonts w:hint="eastAsia" w:ascii="宋体" w:hAnsi="宋体" w:eastAsia="宋体" w:cs="宋体"/>
          <w:color w:val="auto"/>
          <w:sz w:val="21"/>
          <w:szCs w:val="21"/>
          <w:highlight w:val="none"/>
          <w:u w:val="single"/>
          <w:lang w:val="en-US" w:eastAsia="zh-CN"/>
        </w:rPr>
      </w:pPr>
    </w:p>
    <w:p w14:paraId="3DF939BE">
      <w:pPr>
        <w:pStyle w:val="2"/>
        <w:spacing w:before="312" w:after="312"/>
        <w:ind w:firstLine="0"/>
        <w:rPr>
          <w:rFonts w:hint="default" w:ascii="Times New Roman" w:hAnsi="Times New Roman" w:eastAsia="宋体"/>
          <w:color w:val="auto"/>
          <w:sz w:val="36"/>
          <w:szCs w:val="44"/>
        </w:rPr>
      </w:pPr>
      <w:r>
        <w:rPr>
          <w:rFonts w:hint="eastAsia" w:ascii="宋体" w:hAnsi="宋体" w:eastAsia="宋体" w:cs="宋体"/>
          <w:color w:val="auto"/>
          <w:sz w:val="21"/>
          <w:szCs w:val="21"/>
          <w:highlight w:val="none"/>
        </w:rPr>
        <w:t xml:space="preserve"> </w:t>
      </w:r>
      <w:bookmarkStart w:id="36" w:name="_Toc29642"/>
      <w:bookmarkStart w:id="37" w:name="_Toc19483"/>
      <w:bookmarkStart w:id="38" w:name="_Toc26656938"/>
      <w:bookmarkStart w:id="39" w:name="_Toc14201207"/>
      <w:bookmarkStart w:id="40" w:name="_Toc9067720"/>
      <w:r>
        <w:rPr>
          <w:rFonts w:hint="eastAsia" w:ascii="Times New Roman" w:hAnsi="Times New Roman" w:eastAsia="宋体"/>
          <w:color w:val="auto"/>
          <w:sz w:val="36"/>
          <w:szCs w:val="44"/>
        </w:rPr>
        <w:t>供应商须知</w:t>
      </w:r>
      <w:bookmarkEnd w:id="36"/>
      <w:bookmarkEnd w:id="37"/>
    </w:p>
    <w:p w14:paraId="28F7ECF6">
      <w:pPr>
        <w:spacing w:beforeLines="0" w:afterLines="0" w:line="440" w:lineRule="exact"/>
        <w:jc w:val="center"/>
        <w:outlineLvl w:val="1"/>
        <w:rPr>
          <w:rFonts w:hint="default" w:ascii="Times New Roman" w:hAnsi="Times New Roman" w:eastAsia="黑体"/>
          <w:color w:val="auto"/>
          <w:sz w:val="28"/>
          <w:szCs w:val="28"/>
        </w:rPr>
      </w:pPr>
      <w:bookmarkStart w:id="41" w:name="_Toc29381_WPSOffice_Level2"/>
      <w:bookmarkStart w:id="42" w:name="_Toc16069"/>
      <w:bookmarkStart w:id="43" w:name="_Toc55466811"/>
      <w:bookmarkStart w:id="44" w:name="_Toc26656928"/>
      <w:bookmarkStart w:id="45" w:name="_Toc19501"/>
      <w:r>
        <w:rPr>
          <w:rFonts w:hint="eastAsia" w:ascii="Times New Roman" w:hAnsi="Times New Roman" w:eastAsia="黑体"/>
          <w:color w:val="auto"/>
          <w:sz w:val="28"/>
          <w:szCs w:val="28"/>
        </w:rPr>
        <w:t>供应商须知前附表</w:t>
      </w:r>
      <w:bookmarkEnd w:id="41"/>
      <w:bookmarkEnd w:id="42"/>
      <w:bookmarkEnd w:id="43"/>
      <w:bookmarkEnd w:id="44"/>
      <w:bookmarkEnd w:id="45"/>
    </w:p>
    <w:tbl>
      <w:tblPr>
        <w:tblStyle w:val="21"/>
        <w:tblW w:w="91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0"/>
        <w:gridCol w:w="2572"/>
        <w:gridCol w:w="5609"/>
      </w:tblGrid>
      <w:tr w14:paraId="24BC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A3C86">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E45148">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  款  名  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CB28C2">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编  列  内  容</w:t>
            </w:r>
          </w:p>
        </w:tc>
      </w:tr>
      <w:tr w14:paraId="2F091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15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DDAE5">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质量要求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3F9B5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满足国家最新颁布的质量技术标准和本项目的特殊要求。</w:t>
            </w:r>
          </w:p>
        </w:tc>
      </w:tr>
      <w:tr w14:paraId="51E4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3F32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1.2.2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683C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供应商其他资格要求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69F19">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见第一章 采购公告要求。</w:t>
            </w:r>
          </w:p>
        </w:tc>
      </w:tr>
      <w:tr w14:paraId="7E95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3084A5">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FC5053">
            <w:pPr>
              <w:keepNext w:val="0"/>
              <w:keepLines w:val="0"/>
              <w:suppressLineNumbers w:val="0"/>
              <w:spacing w:before="0" w:beforeLines="0" w:beforeAutospacing="0" w:after="0" w:afterLines="0" w:afterAutospacing="0"/>
              <w:ind w:left="105" w:leftChars="50" w:right="0"/>
              <w:jc w:val="center"/>
              <w:rPr>
                <w:rFonts w:hint="default" w:ascii="Times New Roman" w:hAnsi="Times New Roman"/>
                <w:color w:val="auto"/>
                <w:sz w:val="21"/>
                <w:szCs w:val="21"/>
              </w:rPr>
            </w:pPr>
            <w:r>
              <w:rPr>
                <w:rFonts w:hint="eastAsia" w:ascii="Times New Roman" w:hAnsi="Times New Roman"/>
                <w:color w:val="auto"/>
                <w:sz w:val="21"/>
                <w:szCs w:val="21"/>
              </w:rPr>
              <w:t>供应商资质条件、能力、信誉</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40D62">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资质条件：见附录1</w:t>
            </w:r>
          </w:p>
          <w:p w14:paraId="2B6E91C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业绩要求：见附录2</w:t>
            </w:r>
          </w:p>
          <w:p w14:paraId="11A71B5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信誉要求：见附录3</w:t>
            </w:r>
          </w:p>
        </w:tc>
      </w:tr>
      <w:tr w14:paraId="7982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7503D">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1EAF9B">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rPr>
            </w:pPr>
            <w:r>
              <w:rPr>
                <w:rFonts w:hint="eastAsia" w:ascii="Times New Roman" w:hAnsi="Times New Roman"/>
                <w:color w:val="auto"/>
                <w:sz w:val="21"/>
                <w:szCs w:val="21"/>
              </w:rPr>
              <w:t>是否接受联合体</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F0F1CA">
            <w:pPr>
              <w:keepNext w:val="0"/>
              <w:keepLines w:val="0"/>
              <w:suppressLineNumbers w:val="0"/>
              <w:spacing w:before="0" w:beforeLines="0" w:beforeAutospacing="0" w:after="0" w:afterLines="0" w:afterAutospacing="0"/>
              <w:ind w:left="42" w:leftChars="20" w:right="42" w:rightChars="20"/>
              <w:rPr>
                <w:rFonts w:hint="default" w:ascii="Times New Roman" w:hAnsi="Times New Roman"/>
                <w:color w:val="auto"/>
                <w:kern w:val="0"/>
                <w:sz w:val="21"/>
                <w:szCs w:val="21"/>
              </w:rPr>
            </w:pPr>
            <w:r>
              <w:rPr>
                <w:rFonts w:hint="eastAsia" w:ascii="Times New Roman" w:hAnsi="Times New Roman"/>
                <w:color w:val="auto"/>
                <w:sz w:val="21"/>
                <w:szCs w:val="21"/>
              </w:rPr>
              <w:t>不接受</w:t>
            </w:r>
          </w:p>
        </w:tc>
      </w:tr>
      <w:tr w14:paraId="390F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0E700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9497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响应文件其他材料要求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C899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无</w:t>
            </w:r>
          </w:p>
        </w:tc>
      </w:tr>
      <w:tr w14:paraId="772C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C34B1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4</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1B9C5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报价方式</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4D8A4">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固定单价</w:t>
            </w:r>
          </w:p>
          <w:p w14:paraId="707994D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固定总价</w:t>
            </w:r>
          </w:p>
        </w:tc>
      </w:tr>
      <w:tr w14:paraId="6D1D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1E094D">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5</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C29B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报价的其他要求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67BC7">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38FE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339A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3.4.4</w:t>
            </w:r>
            <w:r>
              <w:rPr>
                <w:rFonts w:hint="eastAsia" w:ascii="Times New Roman" w:hAnsi="Times New Roman"/>
                <w:color w:val="auto"/>
                <w:sz w:val="21"/>
                <w:szCs w:val="21"/>
              </w:rPr>
              <w:t>（3）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91BEF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其他不予退还响应保证金的情形</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A3D106">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报价方出现以下情形的，其询价响应保证金将不予退还：</w:t>
            </w:r>
          </w:p>
          <w:p w14:paraId="22F0CD45">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（1）</w:t>
            </w:r>
            <w:r>
              <w:rPr>
                <w:rFonts w:hint="eastAsia" w:ascii="宋体" w:hAnsi="宋体" w:cs="宋体"/>
                <w:color w:val="auto"/>
                <w:sz w:val="21"/>
                <w:szCs w:val="21"/>
              </w:rPr>
              <w:t>报价方在规定的响应有效期内撤销其响应文件。</w:t>
            </w:r>
          </w:p>
          <w:p w14:paraId="22DA5771">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（2）</w:t>
            </w:r>
            <w:r>
              <w:rPr>
                <w:rFonts w:hint="eastAsia" w:ascii="宋体" w:hAnsi="宋体" w:cs="宋体"/>
                <w:color w:val="auto"/>
                <w:sz w:val="21"/>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26291114">
            <w:pPr>
              <w:pStyle w:val="8"/>
              <w:keepNext w:val="0"/>
              <w:keepLines w:val="0"/>
              <w:suppressLineNumbers w:val="0"/>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1"/>
                <w:szCs w:val="21"/>
              </w:rPr>
              <w:t>（3）</w:t>
            </w:r>
            <w:r>
              <w:rPr>
                <w:rFonts w:hint="eastAsia" w:ascii="宋体" w:hAnsi="宋体" w:cs="宋体"/>
                <w:color w:val="auto"/>
                <w:sz w:val="21"/>
                <w:szCs w:val="21"/>
              </w:rPr>
              <w:t>供应商存在以他人名义报价、与他人串通报价、以行贿手段谋取成交、弄虚作假等行为。</w:t>
            </w:r>
          </w:p>
        </w:tc>
      </w:tr>
      <w:tr w14:paraId="1B09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21BEE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3.6.3（2）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0A4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highlight w:val="yellow"/>
              </w:rPr>
            </w:pPr>
            <w:r>
              <w:rPr>
                <w:rFonts w:hint="eastAsia" w:ascii="Times New Roman" w:hAnsi="Times New Roman"/>
                <w:color w:val="auto"/>
                <w:sz w:val="21"/>
                <w:szCs w:val="21"/>
                <w:highlight w:val="yellow"/>
              </w:rPr>
              <w:t>响应文件份数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D85CB">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u w:val="single"/>
              </w:rPr>
            </w:pPr>
            <w:r>
              <w:rPr>
                <w:rFonts w:hint="eastAsia" w:ascii="Times New Roman" w:hAnsi="Times New Roman"/>
                <w:color w:val="auto"/>
                <w:sz w:val="21"/>
                <w:szCs w:val="21"/>
                <w:highlight w:val="yellow"/>
              </w:rPr>
              <w:t>响应文件应</w:t>
            </w:r>
            <w:r>
              <w:rPr>
                <w:rFonts w:hint="eastAsia" w:ascii="Times New Roman" w:hAnsi="Times New Roman"/>
                <w:b/>
                <w:color w:val="auto"/>
                <w:sz w:val="21"/>
                <w:szCs w:val="21"/>
                <w:highlight w:val="yellow"/>
              </w:rPr>
              <w:t>胶装成册，</w:t>
            </w:r>
            <w:r>
              <w:rPr>
                <w:rFonts w:hint="eastAsia" w:ascii="Times New Roman" w:hAnsi="Times New Roman"/>
                <w:color w:val="auto"/>
                <w:sz w:val="21"/>
                <w:szCs w:val="21"/>
                <w:highlight w:val="yellow"/>
              </w:rPr>
              <w:t>正、副本各一份。正副本内容不一致时，以正本为准。</w:t>
            </w:r>
          </w:p>
        </w:tc>
      </w:tr>
      <w:tr w14:paraId="258A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1AE30">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CCF553">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highlight w:val="yellow"/>
              </w:rPr>
            </w:pPr>
            <w:r>
              <w:rPr>
                <w:rFonts w:hint="eastAsia" w:ascii="Times New Roman" w:hAnsi="Times New Roman"/>
                <w:b/>
                <w:color w:val="auto"/>
                <w:sz w:val="21"/>
                <w:szCs w:val="21"/>
                <w:highlight w:val="yellow"/>
              </w:rPr>
              <w:t>响应文件的密封和标记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5D4C4">
            <w:pPr>
              <w:keepNext w:val="0"/>
              <w:keepLines w:val="0"/>
              <w:suppressLineNumbers w:val="0"/>
              <w:spacing w:before="0" w:beforeLines="0" w:beforeAutospacing="0" w:after="0" w:afterLines="0" w:afterAutospacing="0"/>
              <w:ind w:left="0" w:right="0"/>
              <w:rPr>
                <w:rFonts w:hint="eastAsia" w:ascii="宋体" w:hAnsi="宋体" w:cs="宋体"/>
                <w:b/>
                <w:color w:val="auto"/>
                <w:sz w:val="21"/>
                <w:szCs w:val="21"/>
                <w:highlight w:val="yellow"/>
                <w:lang w:bidi="ar"/>
              </w:rPr>
            </w:pPr>
            <w:r>
              <w:rPr>
                <w:rFonts w:hint="eastAsia" w:ascii="宋体" w:hAnsi="宋体" w:cs="宋体"/>
                <w:b/>
                <w:color w:val="auto"/>
                <w:sz w:val="21"/>
                <w:szCs w:val="21"/>
                <w:highlight w:val="yellow"/>
                <w:lang w:bidi="ar"/>
              </w:rPr>
              <w:t>响应文件胶装，封口处须密封并加盖企业公章。</w:t>
            </w:r>
          </w:p>
          <w:p w14:paraId="047AD807">
            <w:pPr>
              <w:keepNext w:val="0"/>
              <w:keepLines w:val="0"/>
              <w:suppressLineNumbers w:val="0"/>
              <w:spacing w:before="0" w:beforeLines="0" w:beforeAutospacing="0" w:after="0" w:afterLines="0" w:afterAutospacing="0"/>
              <w:ind w:left="0" w:right="0"/>
              <w:rPr>
                <w:rFonts w:hint="eastAsia" w:ascii="Times New Roman" w:hAnsi="Times New Roman" w:eastAsiaTheme="minorEastAsia"/>
                <w:color w:val="auto"/>
                <w:sz w:val="21"/>
                <w:szCs w:val="21"/>
                <w:highlight w:val="yellow"/>
                <w:lang w:eastAsia="zh-CN"/>
              </w:rPr>
            </w:pPr>
            <w:r>
              <w:rPr>
                <w:rFonts w:hint="eastAsia" w:ascii="宋体" w:hAnsi="宋体" w:cs="宋体"/>
                <w:b/>
                <w:color w:val="auto"/>
                <w:sz w:val="21"/>
                <w:szCs w:val="21"/>
                <w:highlight w:val="yellow"/>
                <w:lang w:bidi="ar"/>
              </w:rPr>
              <w:t>在响应文件密封袋内需用U盘放报价清单电子版一份（EXCEL版），放盖章版响应文件的扫描件一份（PDF版）；如启封发现上述资料未放齐的，视为形式评审不合格，取消资格。</w:t>
            </w:r>
          </w:p>
        </w:tc>
      </w:tr>
      <w:tr w14:paraId="3BD1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13EAE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5.2.1（3）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D4EB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启封公布的其他内容</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A584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无</w:t>
            </w:r>
          </w:p>
        </w:tc>
      </w:tr>
      <w:tr w14:paraId="2B03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5"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A2ACC">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7.4.1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72B46C">
            <w:pPr>
              <w:keepNext w:val="0"/>
              <w:keepLines w:val="0"/>
              <w:suppressLineNumbers w:val="0"/>
              <w:spacing w:before="0" w:beforeLines="0" w:beforeAutospacing="0" w:after="0" w:afterLines="0" w:afterAutospacing="0" w:line="360" w:lineRule="auto"/>
              <w:ind w:left="0" w:right="0"/>
              <w:jc w:val="center"/>
              <w:rPr>
                <w:rFonts w:hint="default" w:ascii="Times New Roman" w:hAnsi="Times New Roman"/>
                <w:color w:val="auto"/>
                <w:sz w:val="21"/>
                <w:szCs w:val="21"/>
              </w:rPr>
            </w:pPr>
            <w:r>
              <w:rPr>
                <w:rFonts w:hint="eastAsia" w:ascii="Times New Roman" w:hAnsi="Times New Roman"/>
                <w:color w:val="auto"/>
                <w:sz w:val="21"/>
                <w:szCs w:val="21"/>
              </w:rPr>
              <w:t>履约保证金</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9AC940">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textAlignment w:val="auto"/>
              <w:rPr>
                <w:rFonts w:hint="eastAsia" w:ascii="宋体" w:hAnsi="宋体" w:cs="宋体"/>
                <w:color w:val="FF0000"/>
                <w:sz w:val="21"/>
                <w:szCs w:val="21"/>
                <w:lang w:val="en-US" w:eastAsia="zh-CN"/>
              </w:rPr>
            </w:pPr>
            <w:r>
              <w:rPr>
                <w:rFonts w:hint="eastAsia" w:ascii="宋体" w:hAnsi="宋体" w:cs="宋体"/>
                <w:color w:val="auto"/>
                <w:sz w:val="21"/>
                <w:szCs w:val="21"/>
              </w:rPr>
              <w:t>（1）</w:t>
            </w:r>
            <w:r>
              <w:rPr>
                <w:rFonts w:hint="eastAsia" w:ascii="宋体" w:hAnsi="宋体" w:cs="宋体"/>
                <w:color w:val="000000" w:themeColor="text1"/>
                <w:sz w:val="21"/>
                <w:szCs w:val="21"/>
                <w:lang w:val="en-US" w:eastAsia="zh-CN"/>
                <w14:textFill>
                  <w14:solidFill>
                    <w14:schemeClr w14:val="tx1"/>
                  </w14:solidFill>
                </w14:textFill>
              </w:rPr>
              <w:t>成交候选人</w:t>
            </w:r>
            <w:r>
              <w:rPr>
                <w:rFonts w:hint="eastAsia" w:ascii="宋体" w:hAnsi="宋体" w:cs="宋体"/>
                <w:color w:val="000000" w:themeColor="text1"/>
                <w:sz w:val="21"/>
                <w:szCs w:val="21"/>
                <w:lang w:eastAsia="zh-CN"/>
                <w14:textFill>
                  <w14:solidFill>
                    <w14:schemeClr w14:val="tx1"/>
                  </w14:solidFill>
                </w14:textFill>
              </w:rPr>
              <w:t>公示后，</w:t>
            </w:r>
            <w:r>
              <w:rPr>
                <w:rFonts w:hint="eastAsia" w:ascii="宋体" w:hAnsi="宋体" w:cs="宋体"/>
                <w:color w:val="000000" w:themeColor="text1"/>
                <w:sz w:val="21"/>
                <w:szCs w:val="21"/>
                <w:lang w:val="en-US" w:eastAsia="zh-CN"/>
                <w14:textFill>
                  <w14:solidFill>
                    <w14:schemeClr w14:val="tx1"/>
                  </w14:solidFill>
                </w14:textFill>
              </w:rPr>
              <w:t>在框架协议签订前，主供应单位需向甲方支付2万元履约保证金或5万元见索即付银行保函，备选供应单位需向甲方支付具体项目合同总价2%的履约保证金或提供合同总价5%的见索即付银行保函。</w:t>
            </w:r>
          </w:p>
          <w:p w14:paraId="2138D94F">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textAlignment w:val="auto"/>
              <w:rPr>
                <w:rFonts w:hint="default"/>
                <w:color w:val="auto"/>
                <w:sz w:val="21"/>
                <w:szCs w:val="21"/>
              </w:rPr>
            </w:pPr>
            <w:r>
              <w:rPr>
                <w:rFonts w:hint="eastAsia" w:ascii="宋体" w:hAnsi="宋体" w:cs="宋体"/>
                <w:color w:val="auto"/>
                <w:sz w:val="21"/>
                <w:szCs w:val="21"/>
              </w:rPr>
              <w:t>（2）履约保证金退还时间：该项目物资供应整体验收完成后28天内。</w:t>
            </w:r>
          </w:p>
        </w:tc>
      </w:tr>
      <w:tr w14:paraId="15FB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331F2A2">
            <w:pPr>
              <w:keepNext w:val="0"/>
              <w:keepLines w:val="0"/>
              <w:suppressLineNumbers w:val="0"/>
              <w:snapToGrid w:val="0"/>
              <w:spacing w:before="0" w:beforeLines="0" w:beforeAutospacing="0" w:after="0" w:afterLines="0" w:afterAutospacing="0" w:line="360" w:lineRule="auto"/>
              <w:ind w:left="0" w:right="0"/>
              <w:rPr>
                <w:rFonts w:hint="default" w:ascii="Times New Roman" w:hAnsi="Times New Roman"/>
                <w:color w:val="auto"/>
                <w:sz w:val="21"/>
                <w:szCs w:val="21"/>
              </w:rPr>
            </w:pPr>
            <w:r>
              <w:rPr>
                <w:rFonts w:hint="eastAsia" w:ascii="Times New Roman" w:hAnsi="Times New Roman"/>
                <w:color w:val="auto"/>
                <w:sz w:val="21"/>
                <w:szCs w:val="21"/>
              </w:rPr>
              <w:t>9需要补充的其他内容</w:t>
            </w:r>
          </w:p>
        </w:tc>
      </w:tr>
      <w:tr w14:paraId="40B0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BA073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9.1</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6E87CD">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textAlignment w:val="auto"/>
              <w:rPr>
                <w:rFonts w:hint="default"/>
                <w:color w:val="auto"/>
                <w:sz w:val="21"/>
                <w:szCs w:val="21"/>
              </w:rPr>
            </w:pPr>
            <w:r>
              <w:rPr>
                <w:rFonts w:hint="eastAsia"/>
                <w:color w:val="auto"/>
                <w:sz w:val="21"/>
                <w:szCs w:val="21"/>
              </w:rPr>
              <w:t>响应人或其他利害关系人对评</w:t>
            </w:r>
            <w:r>
              <w:rPr>
                <w:rFonts w:hint="eastAsia"/>
                <w:color w:val="auto"/>
                <w:sz w:val="21"/>
                <w:szCs w:val="21"/>
                <w:lang w:val="en-US" w:eastAsia="zh-CN"/>
              </w:rPr>
              <w:t>审</w:t>
            </w:r>
            <w:r>
              <w:rPr>
                <w:rFonts w:hint="eastAsia"/>
                <w:color w:val="auto"/>
                <w:sz w:val="21"/>
                <w:szCs w:val="21"/>
              </w:rPr>
              <w:t>结果有异议的，应以书面形式提出，异议材料应包括：</w:t>
            </w:r>
          </w:p>
          <w:p w14:paraId="111F7743">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textAlignment w:val="auto"/>
              <w:rPr>
                <w:rFonts w:hint="default"/>
                <w:color w:val="auto"/>
                <w:sz w:val="21"/>
                <w:szCs w:val="21"/>
              </w:rPr>
            </w:pPr>
            <w:r>
              <w:rPr>
                <w:rFonts w:hint="eastAsia"/>
                <w:color w:val="auto"/>
                <w:sz w:val="21"/>
                <w:szCs w:val="21"/>
              </w:rPr>
              <w:t>（1）异议人的名称、地址及有效联系方式；</w:t>
            </w:r>
          </w:p>
          <w:p w14:paraId="77E9CAC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textAlignment w:val="auto"/>
              <w:rPr>
                <w:rFonts w:hint="default"/>
                <w:color w:val="auto"/>
                <w:sz w:val="21"/>
                <w:szCs w:val="21"/>
              </w:rPr>
            </w:pPr>
            <w:r>
              <w:rPr>
                <w:rFonts w:hint="eastAsia"/>
                <w:color w:val="auto"/>
                <w:sz w:val="21"/>
                <w:szCs w:val="21"/>
              </w:rPr>
              <w:t>（2）异议事项的基本事实；</w:t>
            </w:r>
          </w:p>
          <w:p w14:paraId="0AAA2E4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textAlignment w:val="auto"/>
              <w:rPr>
                <w:rFonts w:hint="default"/>
                <w:color w:val="auto"/>
                <w:sz w:val="21"/>
                <w:szCs w:val="21"/>
              </w:rPr>
            </w:pPr>
            <w:r>
              <w:rPr>
                <w:rFonts w:hint="eastAsia"/>
                <w:color w:val="auto"/>
                <w:sz w:val="21"/>
                <w:szCs w:val="21"/>
              </w:rPr>
              <w:t>（3）有效线索和相关证明材料。</w:t>
            </w:r>
          </w:p>
          <w:p w14:paraId="6996FCBC">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firstLine="420" w:firstLineChars="200"/>
              <w:textAlignment w:val="auto"/>
              <w:rPr>
                <w:rFonts w:hint="default" w:ascii="Times New Roman" w:hAnsi="Times New Roman"/>
                <w:color w:val="auto"/>
                <w:sz w:val="21"/>
                <w:szCs w:val="21"/>
              </w:rPr>
            </w:pPr>
            <w:r>
              <w:rPr>
                <w:rFonts w:hint="eastAsia"/>
                <w:color w:val="auto"/>
                <w:sz w:val="21"/>
                <w:szCs w:val="21"/>
              </w:rPr>
              <w:t>异议人是法人的，异议材料必须由其法定代表人或者授权代表签字并盖章；其他组织或者个人提出异议的，异议材料必须由其主要负责人或者异议本人签字，并附有效身份证明复印件。</w:t>
            </w:r>
          </w:p>
        </w:tc>
      </w:tr>
      <w:tr w14:paraId="40B6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A98063">
            <w:pPr>
              <w:keepNext w:val="0"/>
              <w:keepLines w:val="0"/>
              <w:suppressLineNumbers w:val="0"/>
              <w:spacing w:before="0" w:beforeLines="0" w:beforeAutospacing="0" w:after="0" w:afterLines="0" w:afterAutospacing="0" w:line="440" w:lineRule="exact"/>
              <w:ind w:left="0" w:right="0" w:firstLine="210" w:firstLineChars="100"/>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9.2</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E40BCD">
            <w:pPr>
              <w:pStyle w:val="8"/>
              <w:keepNext w:val="0"/>
              <w:keepLines w:val="0"/>
              <w:suppressLineNumbers w:val="0"/>
              <w:spacing w:before="0" w:beforeLines="0" w:beforeAutospacing="0" w:after="0" w:afterLines="0" w:afterAutospacing="0" w:line="360" w:lineRule="auto"/>
              <w:ind w:left="0" w:right="0"/>
              <w:rPr>
                <w:rFonts w:hint="default"/>
                <w:color w:val="auto"/>
                <w:sz w:val="21"/>
                <w:szCs w:val="21"/>
                <w:highlight w:val="none"/>
              </w:rPr>
            </w:pPr>
            <w:r>
              <w:rPr>
                <w:rFonts w:hint="eastAsia"/>
                <w:color w:val="auto"/>
                <w:sz w:val="21"/>
                <w:szCs w:val="21"/>
                <w:highlight w:val="none"/>
              </w:rPr>
              <w:t>1.报价完全考虑报价清单要求内容，含清单内要求的品牌，材质，工艺，辅材等。</w:t>
            </w:r>
          </w:p>
          <w:p w14:paraId="0E92E068">
            <w:pPr>
              <w:keepNext w:val="0"/>
              <w:keepLines w:val="0"/>
              <w:suppressLineNumbers w:val="0"/>
              <w:spacing w:before="0" w:beforeLines="0" w:beforeAutospacing="0" w:after="0" w:afterLines="0" w:afterAutospacing="0" w:line="360" w:lineRule="auto"/>
              <w:ind w:left="0" w:right="0"/>
              <w:rPr>
                <w:rFonts w:hint="default" w:ascii="Times New Roman"/>
                <w:b/>
                <w:color w:val="auto"/>
                <w:sz w:val="21"/>
                <w:szCs w:val="21"/>
                <w:highlight w:val="none"/>
              </w:rPr>
            </w:pPr>
            <w:r>
              <w:rPr>
                <w:rFonts w:hint="eastAsia"/>
                <w:color w:val="auto"/>
                <w:sz w:val="21"/>
                <w:szCs w:val="21"/>
                <w:highlight w:val="none"/>
              </w:rPr>
              <w:t>2.</w:t>
            </w:r>
            <w:r>
              <w:rPr>
                <w:rFonts w:hint="eastAsia" w:ascii="Times New Roman"/>
                <w:color w:val="auto"/>
                <w:sz w:val="21"/>
                <w:szCs w:val="21"/>
                <w:highlight w:val="none"/>
              </w:rPr>
              <w:t>异常低价或不平衡报价，采购人有权做</w:t>
            </w:r>
            <w:r>
              <w:rPr>
                <w:rFonts w:hint="eastAsia" w:ascii="Times New Roman"/>
                <w:color w:val="auto"/>
                <w:sz w:val="21"/>
                <w:szCs w:val="21"/>
                <w:highlight w:val="none"/>
                <w:lang w:val="en-US" w:eastAsia="zh-CN"/>
              </w:rPr>
              <w:t>不响应采购人要求</w:t>
            </w:r>
            <w:r>
              <w:rPr>
                <w:rFonts w:hint="eastAsia" w:ascii="Times New Roman"/>
                <w:color w:val="auto"/>
                <w:sz w:val="21"/>
                <w:szCs w:val="21"/>
                <w:highlight w:val="none"/>
              </w:rPr>
              <w:t>处理。</w:t>
            </w:r>
          </w:p>
        </w:tc>
      </w:tr>
      <w:tr w14:paraId="04CC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840E0E">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9.3</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B3C1F9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textAlignment w:val="auto"/>
              <w:rPr>
                <w:rFonts w:hint="default" w:ascii="Times New Roman" w:hAnsi="Times New Roman"/>
                <w:color w:val="auto"/>
                <w:sz w:val="21"/>
                <w:szCs w:val="21"/>
              </w:rPr>
            </w:pPr>
            <w:r>
              <w:rPr>
                <w:rFonts w:hint="eastAsia" w:ascii="宋体" w:hAnsi="宋体" w:cs="宋体"/>
                <w:color w:val="auto"/>
                <w:sz w:val="21"/>
                <w:szCs w:val="21"/>
              </w:rPr>
              <w:t>供货方按合同约定的交货地点交货后投入使用，由使用单位或合同签订单位进行</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设备验收检测（如需），如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设备验收检测合格，产生的检测费用由使用单位或合同签订单位支付；如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设备验收检测不合格，产生的检测费用由供货方支付并对不合格</w:t>
            </w:r>
            <w:r>
              <w:rPr>
                <w:rFonts w:hint="eastAsia" w:ascii="宋体" w:hAnsi="宋体" w:cs="宋体"/>
                <w:color w:val="auto"/>
                <w:sz w:val="21"/>
                <w:szCs w:val="21"/>
                <w:lang w:val="en-US" w:eastAsia="zh-CN"/>
              </w:rPr>
              <w:t>物资、</w:t>
            </w:r>
            <w:r>
              <w:rPr>
                <w:rFonts w:hint="eastAsia" w:ascii="宋体" w:hAnsi="宋体" w:cs="宋体"/>
                <w:color w:val="auto"/>
                <w:sz w:val="21"/>
                <w:szCs w:val="21"/>
              </w:rPr>
              <w:t>设备进行维修或更换，若造成损失供货方将进行赔偿，甚至追究违约责任。</w:t>
            </w:r>
          </w:p>
        </w:tc>
      </w:tr>
      <w:tr w14:paraId="7822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66754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9.4</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55DD9C">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宋体" w:hAnsi="宋体" w:cs="宋体"/>
                <w:color w:val="auto"/>
                <w:sz w:val="21"/>
                <w:szCs w:val="21"/>
              </w:rPr>
            </w:pPr>
            <w:r>
              <w:rPr>
                <w:rFonts w:hint="eastAsia" w:ascii="宋体" w:hAnsi="宋体" w:cs="宋体"/>
                <w:color w:val="auto"/>
                <w:sz w:val="21"/>
                <w:szCs w:val="21"/>
              </w:rPr>
              <w:t>1.本项目后期有可能涉及部分产品的优化及深化设计，响应单位在响应报价时应充分考虑此部分的费用，根据自身因素、综合条件、市场风险自行报价，</w:t>
            </w:r>
            <w:r>
              <w:rPr>
                <w:rFonts w:hint="eastAsia" w:ascii="宋体" w:hAnsi="宋体" w:cs="宋体"/>
                <w:color w:val="auto"/>
                <w:sz w:val="21"/>
                <w:szCs w:val="21"/>
                <w:lang w:val="en-US" w:eastAsia="zh-CN"/>
              </w:rPr>
              <w:t>成交</w:t>
            </w:r>
            <w:r>
              <w:rPr>
                <w:rFonts w:hint="eastAsia" w:ascii="宋体" w:hAnsi="宋体" w:cs="宋体"/>
                <w:color w:val="auto"/>
                <w:sz w:val="21"/>
                <w:szCs w:val="21"/>
              </w:rPr>
              <w:t>后不予调整。</w:t>
            </w:r>
          </w:p>
          <w:p w14:paraId="6B153D10">
            <w:pPr>
              <w:keepNext w:val="0"/>
              <w:keepLines w:val="0"/>
              <w:suppressLineNumbers w:val="0"/>
              <w:spacing w:before="0" w:beforeLines="0" w:beforeAutospacing="0" w:after="0" w:afterLines="0" w:afterAutospacing="0" w:line="360" w:lineRule="auto"/>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2.材料常规检测费用含在报价中，采购人不另外单独支付。</w:t>
            </w:r>
          </w:p>
        </w:tc>
      </w:tr>
      <w:tr w14:paraId="4CD4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D7D1C5">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9.5</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1D2B52D">
            <w:pPr>
              <w:keepNext w:val="0"/>
              <w:keepLines w:val="0"/>
              <w:suppressLineNumbers w:val="0"/>
              <w:spacing w:before="0" w:beforeLines="0" w:beforeAutospacing="0" w:after="0" w:afterLines="0" w:afterAutospacing="0" w:line="360" w:lineRule="auto"/>
              <w:ind w:left="0" w:right="0" w:firstLine="440" w:firstLineChars="200"/>
              <w:rPr>
                <w:rFonts w:hint="eastAsia" w:ascii="宋体" w:hAnsi="宋体" w:cs="宋体"/>
                <w:color w:val="auto"/>
                <w:sz w:val="21"/>
                <w:szCs w:val="21"/>
              </w:rPr>
            </w:pPr>
            <w:r>
              <w:rPr>
                <w:rFonts w:hint="eastAsia" w:ascii="宋体" w:hAnsi="宋体" w:eastAsia="宋体" w:cs="宋体"/>
                <w:b/>
                <w:bCs/>
                <w:color w:val="auto"/>
                <w:sz w:val="22"/>
                <w:szCs w:val="22"/>
                <w:highlight w:val="yellow"/>
                <w:lang w:val="en-US" w:eastAsia="zh-CN"/>
              </w:rPr>
              <w:t>本采购项目不接受不平衡报价，若成交人的响应单价存在不平衡报价，采购人将在合同谈判时或结算中要求在保持签约合同价不变的前提下调整单价，成交人应接受采购人的上述约定。</w:t>
            </w:r>
          </w:p>
        </w:tc>
      </w:tr>
      <w:tr w14:paraId="3DEB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F43E73">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9.6</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208D97">
            <w:pPr>
              <w:keepNext w:val="0"/>
              <w:keepLines w:val="0"/>
              <w:widowControl/>
              <w:suppressLineNumbers w:val="0"/>
              <w:spacing w:before="0" w:beforeAutospacing="0" w:after="0" w:afterAutospacing="0" w:line="360" w:lineRule="auto"/>
              <w:ind w:left="0" w:right="0" w:firstLine="44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eastAsia="宋体" w:cs="宋体"/>
                <w:b/>
                <w:bCs/>
                <w:color w:val="auto"/>
                <w:sz w:val="22"/>
                <w:szCs w:val="22"/>
                <w:highlight w:val="yellow"/>
                <w:lang w:val="en-US" w:eastAsia="zh-CN"/>
              </w:rPr>
              <w:t>本次采购拟选2家年度供应单位，即入围报价环节价格最低的前二名。报价第二低的单位须响应报价最低的单位的价格，如不能响应，将由采购人按候选人名次顺延备选供应单位。报价最低的单位将作为该年度内主要供应单位，另一家作为备选单位，2家年度供应单位共同保障采购人该年度内的项目供应。</w:t>
            </w:r>
          </w:p>
        </w:tc>
      </w:tr>
      <w:tr w14:paraId="0A1F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516EB">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eastAsiaTheme="minorEastAsia"/>
                <w:color w:val="auto"/>
                <w:sz w:val="21"/>
                <w:szCs w:val="21"/>
                <w:lang w:eastAsia="zh-CN"/>
              </w:rPr>
            </w:pPr>
            <w:r>
              <w:rPr>
                <w:rFonts w:hint="eastAsia" w:ascii="Times New Roman" w:hAnsi="Times New Roman"/>
                <w:color w:val="auto"/>
                <w:sz w:val="21"/>
                <w:szCs w:val="21"/>
              </w:rPr>
              <w:t>9.</w:t>
            </w:r>
            <w:r>
              <w:rPr>
                <w:rFonts w:hint="eastAsia" w:ascii="Times New Roman" w:hAnsi="Times New Roman"/>
                <w:color w:val="auto"/>
                <w:sz w:val="21"/>
                <w:szCs w:val="21"/>
                <w:lang w:val="en-US" w:eastAsia="zh-CN"/>
              </w:rPr>
              <w:t>7</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A39F0BF">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1.自2025 年1月1日起</w:t>
            </w:r>
            <w:r>
              <w:rPr>
                <w:rFonts w:hint="eastAsia" w:ascii="宋体" w:hAnsi="宋体" w:cs="宋体"/>
                <w:b/>
                <w:bCs/>
                <w:color w:val="000000" w:themeColor="text1"/>
                <w:sz w:val="21"/>
                <w:szCs w:val="21"/>
                <w:highlight w:val="yellow"/>
                <w:lang w:val="en-US" w:eastAsia="zh-CN"/>
                <w14:textFill>
                  <w14:solidFill>
                    <w14:schemeClr w14:val="tx1"/>
                  </w14:solidFill>
                </w14:textFill>
              </w:rPr>
              <w:t>计算</w:t>
            </w:r>
            <w:r>
              <w:rPr>
                <w:rFonts w:hint="eastAsia" w:ascii="宋体" w:hAnsi="宋体" w:cs="宋体"/>
                <w:b/>
                <w:bCs/>
                <w:color w:val="000000" w:themeColor="text1"/>
                <w:sz w:val="21"/>
                <w:szCs w:val="21"/>
                <w:highlight w:val="yellow"/>
                <w14:textFill>
                  <w14:solidFill>
                    <w14:schemeClr w14:val="tx1"/>
                  </w14:solidFill>
                </w14:textFill>
              </w:rPr>
              <w:t>，乙方</w:t>
            </w:r>
            <w:r>
              <w:rPr>
                <w:rFonts w:hint="eastAsia" w:ascii="宋体" w:hAnsi="宋体" w:cs="宋体"/>
                <w:b/>
                <w:bCs/>
                <w:color w:val="000000" w:themeColor="text1"/>
                <w:sz w:val="21"/>
                <w:szCs w:val="21"/>
                <w:highlight w:val="yellow"/>
                <w:lang w:val="en-US" w:eastAsia="zh-CN"/>
                <w14:textFill>
                  <w14:solidFill>
                    <w14:schemeClr w14:val="tx1"/>
                  </w14:solidFill>
                </w14:textFill>
              </w:rPr>
              <w:t>须按</w:t>
            </w:r>
            <w:r>
              <w:rPr>
                <w:rFonts w:hint="eastAsia" w:ascii="宋体" w:hAnsi="宋体" w:cs="宋体"/>
                <w:b/>
                <w:bCs/>
                <w:color w:val="000000" w:themeColor="text1"/>
                <w:sz w:val="21"/>
                <w:szCs w:val="21"/>
                <w:highlight w:val="yellow"/>
                <w14:textFill>
                  <w14:solidFill>
                    <w14:schemeClr w14:val="tx1"/>
                  </w14:solidFill>
                </w14:textFill>
              </w:rPr>
              <w:t>累计供货</w:t>
            </w:r>
            <w:r>
              <w:rPr>
                <w:rFonts w:hint="eastAsia" w:ascii="宋体" w:hAnsi="宋体" w:cs="宋体"/>
                <w:b/>
                <w:bCs/>
                <w:color w:val="000000" w:themeColor="text1"/>
                <w:sz w:val="21"/>
                <w:szCs w:val="21"/>
                <w:highlight w:val="yellow"/>
                <w:lang w:val="en-US" w:eastAsia="zh-CN"/>
                <w14:textFill>
                  <w14:solidFill>
                    <w14:schemeClr w14:val="tx1"/>
                  </w14:solidFill>
                </w14:textFill>
              </w:rPr>
              <w:t>金额每达800万，</w:t>
            </w:r>
            <w:r>
              <w:rPr>
                <w:rFonts w:hint="eastAsia" w:ascii="宋体" w:hAnsi="宋体" w:cs="宋体"/>
                <w:b/>
                <w:bCs/>
                <w:color w:val="000000" w:themeColor="text1"/>
                <w:sz w:val="21"/>
                <w:szCs w:val="21"/>
                <w:highlight w:val="yellow"/>
                <w14:textFill>
                  <w14:solidFill>
                    <w14:schemeClr w14:val="tx1"/>
                  </w14:solidFill>
                </w14:textFill>
              </w:rPr>
              <w:t>在甲方指定的交控建工集团任意开发或代建项目购买住宅</w:t>
            </w:r>
            <w:r>
              <w:rPr>
                <w:rFonts w:hint="eastAsia" w:ascii="宋体" w:hAnsi="宋体" w:cs="宋体"/>
                <w:b/>
                <w:bCs/>
                <w:color w:val="000000" w:themeColor="text1"/>
                <w:sz w:val="21"/>
                <w:szCs w:val="21"/>
                <w:highlight w:val="yellow"/>
                <w:lang w:val="en-US" w:eastAsia="zh-CN"/>
                <w14:textFill>
                  <w14:solidFill>
                    <w14:schemeClr w14:val="tx1"/>
                  </w14:solidFill>
                </w14:textFill>
              </w:rPr>
              <w:t>1套</w:t>
            </w:r>
            <w:r>
              <w:rPr>
                <w:rFonts w:hint="eastAsia" w:ascii="宋体" w:hAnsi="宋体" w:cs="宋体"/>
                <w:b/>
                <w:bCs/>
                <w:color w:val="000000" w:themeColor="text1"/>
                <w:sz w:val="21"/>
                <w:szCs w:val="21"/>
                <w:highlight w:val="yellow"/>
                <w:lang w:eastAsia="zh-CN"/>
                <w14:textFill>
                  <w14:solidFill>
                    <w14:schemeClr w14:val="tx1"/>
                  </w14:solidFill>
                </w14:textFill>
              </w:rPr>
              <w:t>、</w:t>
            </w:r>
            <w:r>
              <w:rPr>
                <w:rFonts w:hint="eastAsia" w:ascii="宋体" w:hAnsi="宋体" w:cs="宋体"/>
                <w:b/>
                <w:bCs/>
                <w:color w:val="000000" w:themeColor="text1"/>
                <w:sz w:val="21"/>
                <w:szCs w:val="21"/>
                <w:highlight w:val="yellow"/>
                <w14:textFill>
                  <w14:solidFill>
                    <w14:schemeClr w14:val="tx1"/>
                  </w14:solidFill>
                </w14:textFill>
              </w:rPr>
              <w:t>车位</w:t>
            </w:r>
            <w:r>
              <w:rPr>
                <w:rFonts w:hint="eastAsia" w:ascii="宋体" w:hAnsi="宋体" w:cs="宋体"/>
                <w:b/>
                <w:bCs/>
                <w:color w:val="000000" w:themeColor="text1"/>
                <w:sz w:val="21"/>
                <w:szCs w:val="21"/>
                <w:highlight w:val="yellow"/>
                <w:lang w:val="en-US" w:eastAsia="zh-CN"/>
                <w14:textFill>
                  <w14:solidFill>
                    <w14:schemeClr w14:val="tx1"/>
                  </w14:solidFill>
                </w14:textFill>
              </w:rPr>
              <w:t>1个</w:t>
            </w:r>
            <w:r>
              <w:rPr>
                <w:rFonts w:hint="eastAsia" w:ascii="宋体" w:hAnsi="宋体" w:cs="宋体"/>
                <w:b/>
                <w:bCs/>
                <w:color w:val="000000" w:themeColor="text1"/>
                <w:sz w:val="21"/>
                <w:szCs w:val="21"/>
                <w:highlight w:val="yellow"/>
                <w14:textFill>
                  <w14:solidFill>
                    <w14:schemeClr w14:val="tx1"/>
                  </w14:solidFill>
                </w14:textFill>
              </w:rPr>
              <w:t>。1套住宅+1个车位预估价为</w:t>
            </w:r>
            <w:r>
              <w:rPr>
                <w:rFonts w:hint="eastAsia" w:ascii="宋体" w:hAnsi="宋体" w:cs="宋体"/>
                <w:b/>
                <w:bCs/>
                <w:color w:val="000000" w:themeColor="text1"/>
                <w:sz w:val="21"/>
                <w:szCs w:val="21"/>
                <w:highlight w:val="yellow"/>
                <w:lang w:val="en-US" w:eastAsia="zh-CN"/>
                <w14:textFill>
                  <w14:solidFill>
                    <w14:schemeClr w14:val="tx1"/>
                  </w14:solidFill>
                </w14:textFill>
              </w:rPr>
              <w:t>8</w:t>
            </w:r>
            <w:r>
              <w:rPr>
                <w:rFonts w:hint="eastAsia" w:ascii="宋体" w:hAnsi="宋体" w:cs="宋体"/>
                <w:b/>
                <w:bCs/>
                <w:color w:val="000000" w:themeColor="text1"/>
                <w:sz w:val="21"/>
                <w:szCs w:val="21"/>
                <w:highlight w:val="yellow"/>
                <w14:textFill>
                  <w14:solidFill>
                    <w14:schemeClr w14:val="tx1"/>
                  </w14:solidFill>
                </w14:textFill>
              </w:rPr>
              <w:t>0万元，购买人可为乙方或乙方指定的购买人。</w:t>
            </w:r>
          </w:p>
          <w:p w14:paraId="50A696D3">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2.房屋认购应在</w:t>
            </w:r>
            <w:r>
              <w:rPr>
                <w:rFonts w:hint="eastAsia" w:ascii="宋体" w:hAnsi="宋体" w:cs="宋体"/>
                <w:b/>
                <w:bCs/>
                <w:color w:val="000000" w:themeColor="text1"/>
                <w:sz w:val="21"/>
                <w:szCs w:val="21"/>
                <w:highlight w:val="yellow"/>
                <w:lang w:val="en-US" w:eastAsia="zh-CN"/>
                <w14:textFill>
                  <w14:solidFill>
                    <w14:schemeClr w14:val="tx1"/>
                  </w14:solidFill>
                </w14:textFill>
              </w:rPr>
              <w:t>累计供货额达到每800万后的60天内完成房屋认购</w:t>
            </w:r>
            <w:r>
              <w:rPr>
                <w:rFonts w:hint="eastAsia" w:ascii="宋体" w:hAnsi="宋体" w:cs="宋体"/>
                <w:b/>
                <w:bCs/>
                <w:color w:val="000000" w:themeColor="text1"/>
                <w:sz w:val="21"/>
                <w:szCs w:val="21"/>
                <w:highlight w:val="yellow"/>
                <w14:textFill>
                  <w14:solidFill>
                    <w14:schemeClr w14:val="tx1"/>
                  </w14:solidFill>
                </w14:textFill>
              </w:rPr>
              <w:t>，如乙方未在</w:t>
            </w:r>
            <w:r>
              <w:rPr>
                <w:rFonts w:hint="eastAsia" w:ascii="宋体" w:hAnsi="宋体" w:cs="宋体"/>
                <w:b/>
                <w:bCs/>
                <w:color w:val="000000" w:themeColor="text1"/>
                <w:sz w:val="21"/>
                <w:szCs w:val="21"/>
                <w:highlight w:val="yellow"/>
                <w:lang w:val="en-US" w:eastAsia="zh-CN"/>
                <w14:textFill>
                  <w14:solidFill>
                    <w14:schemeClr w14:val="tx1"/>
                  </w14:solidFill>
                </w14:textFill>
              </w:rPr>
              <w:t>约定时间</w:t>
            </w:r>
            <w:r>
              <w:rPr>
                <w:rFonts w:hint="eastAsia" w:ascii="宋体" w:hAnsi="宋体" w:cs="宋体"/>
                <w:b/>
                <w:bCs/>
                <w:color w:val="000000" w:themeColor="text1"/>
                <w:sz w:val="21"/>
                <w:szCs w:val="21"/>
                <w:highlight w:val="yellow"/>
                <w14:textFill>
                  <w14:solidFill>
                    <w14:schemeClr w14:val="tx1"/>
                  </w14:solidFill>
                </w14:textFill>
              </w:rPr>
              <w:t>内完成房屋认购，乙方需向甲方支付</w:t>
            </w:r>
            <w:r>
              <w:rPr>
                <w:rFonts w:hint="eastAsia" w:ascii="宋体" w:hAnsi="宋体" w:cs="宋体"/>
                <w:b/>
                <w:bCs/>
                <w:color w:val="000000" w:themeColor="text1"/>
                <w:sz w:val="21"/>
                <w:szCs w:val="21"/>
                <w:highlight w:val="yellow"/>
                <w:lang w:val="en-US" w:eastAsia="zh-CN"/>
                <w14:textFill>
                  <w14:solidFill>
                    <w14:schemeClr w14:val="tx1"/>
                  </w14:solidFill>
                </w14:textFill>
              </w:rPr>
              <w:t>累计</w:t>
            </w:r>
            <w:r>
              <w:rPr>
                <w:rFonts w:hint="eastAsia" w:ascii="宋体" w:hAnsi="宋体" w:cs="宋体"/>
                <w:b/>
                <w:bCs/>
                <w:color w:val="000000" w:themeColor="text1"/>
                <w:sz w:val="21"/>
                <w:szCs w:val="21"/>
                <w:highlight w:val="yellow"/>
                <w14:textFill>
                  <w14:solidFill>
                    <w14:schemeClr w14:val="tx1"/>
                  </w14:solidFill>
                </w14:textFill>
              </w:rPr>
              <w:t>供货价款10%的违约金，甲方有权直接从乙方未支付的货款中直接扣除。</w:t>
            </w:r>
          </w:p>
          <w:p w14:paraId="2B20F8BD">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color w:val="auto"/>
                <w:sz w:val="21"/>
                <w:szCs w:val="21"/>
              </w:rPr>
            </w:pPr>
            <w:r>
              <w:rPr>
                <w:rFonts w:hint="eastAsia" w:ascii="宋体" w:hAnsi="宋体" w:cs="宋体"/>
                <w:b/>
                <w:bCs/>
                <w:color w:val="000000" w:themeColor="text1"/>
                <w:sz w:val="21"/>
                <w:szCs w:val="21"/>
                <w:highlight w:val="yellow"/>
                <w14:textFill>
                  <w14:solidFill>
                    <w14:schemeClr w14:val="tx1"/>
                  </w14:solidFill>
                </w14:textFill>
              </w:rPr>
              <w:t>3.对于完成工抵的供应商获得下年度集采重点推荐资格；额外给予上年度合作额度10%的上浮空间；对合作供应商授予“战略合作伙伴"认证资质。</w:t>
            </w:r>
          </w:p>
        </w:tc>
      </w:tr>
      <w:tr w14:paraId="74493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2940C">
            <w:pPr>
              <w:keepNext w:val="0"/>
              <w:keepLines w:val="0"/>
              <w:suppressLineNumbers w:val="0"/>
              <w:spacing w:before="0" w:beforeLines="0" w:beforeAutospacing="0" w:after="0" w:afterLines="0" w:afterAutospacing="0" w:line="360" w:lineRule="auto"/>
              <w:ind w:left="0" w:leftChars="0" w:right="0" w:rightChars="0"/>
              <w:jc w:val="center"/>
              <w:rPr>
                <w:rFonts w:hint="eastAsia" w:ascii="Times New Roman" w:hAnsi="Times New Roman"/>
                <w:color w:val="auto"/>
                <w:sz w:val="21"/>
                <w:szCs w:val="21"/>
                <w:highlight w:val="yellow"/>
              </w:rPr>
            </w:pPr>
            <w:r>
              <w:rPr>
                <w:rFonts w:hint="eastAsia" w:ascii="Times New Roman" w:hAnsi="Times New Roman"/>
                <w:color w:val="auto"/>
                <w:sz w:val="21"/>
                <w:szCs w:val="21"/>
                <w:highlight w:val="yellow"/>
                <w:lang w:val="en-US" w:eastAsia="zh-CN"/>
              </w:rPr>
              <w:t>9.8</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D2F37C8">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宋体" w:hAnsi="宋体" w:cs="宋体" w:eastAsiaTheme="minorEastAsia"/>
                <w:b/>
                <w:bCs/>
                <w:color w:val="000000" w:themeColor="text1"/>
                <w:sz w:val="21"/>
                <w:szCs w:val="21"/>
                <w:highlight w:val="yellow"/>
                <w:lang w:eastAsia="zh-CN"/>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成交候选人公示媒介及期限</w:t>
            </w:r>
            <w:r>
              <w:rPr>
                <w:rFonts w:hint="eastAsia" w:ascii="宋体" w:hAnsi="宋体" w:cs="宋体"/>
                <w:b/>
                <w:bCs/>
                <w:color w:val="000000" w:themeColor="text1"/>
                <w:sz w:val="21"/>
                <w:szCs w:val="21"/>
                <w:highlight w:val="yellow"/>
                <w:lang w:eastAsia="zh-CN"/>
                <w14:textFill>
                  <w14:solidFill>
                    <w14:schemeClr w14:val="tx1"/>
                  </w14:solidFill>
                </w14:textFill>
              </w:rPr>
              <w:t>：</w:t>
            </w:r>
          </w:p>
          <w:p w14:paraId="147320C4">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公示媒介：同</w:t>
            </w:r>
            <w:r>
              <w:rPr>
                <w:rFonts w:hint="eastAsia" w:ascii="宋体" w:hAnsi="宋体" w:cs="宋体"/>
                <w:b/>
                <w:bCs/>
                <w:color w:val="000000" w:themeColor="text1"/>
                <w:sz w:val="21"/>
                <w:szCs w:val="21"/>
                <w:highlight w:val="yellow"/>
                <w:lang w:eastAsia="zh-CN"/>
                <w14:textFill>
                  <w14:solidFill>
                    <w14:schemeClr w14:val="tx1"/>
                  </w14:solidFill>
                </w14:textFill>
              </w:rPr>
              <w:t>采购</w:t>
            </w:r>
            <w:r>
              <w:rPr>
                <w:rFonts w:hint="eastAsia" w:ascii="宋体" w:hAnsi="宋体" w:cs="宋体"/>
                <w:b/>
                <w:bCs/>
                <w:color w:val="000000" w:themeColor="text1"/>
                <w:sz w:val="21"/>
                <w:szCs w:val="21"/>
                <w:highlight w:val="yellow"/>
                <w14:textFill>
                  <w14:solidFill>
                    <w14:schemeClr w14:val="tx1"/>
                  </w14:solidFill>
                </w14:textFill>
              </w:rPr>
              <w:t>公告发布媒介</w:t>
            </w:r>
          </w:p>
          <w:p w14:paraId="7C3BDDE5">
            <w:pPr>
              <w:keepNext w:val="0"/>
              <w:keepLines w:val="0"/>
              <w:widowControl/>
              <w:suppressLineNumbers w:val="0"/>
              <w:spacing w:before="0" w:beforeAutospacing="0" w:after="0" w:afterAutospacing="0" w:line="360" w:lineRule="auto"/>
              <w:ind w:left="0" w:leftChars="0" w:right="0" w:rightChars="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公示期限：3日（节假日计算公示期</w:t>
            </w:r>
            <w:r>
              <w:rPr>
                <w:rFonts w:hint="eastAsia" w:ascii="宋体" w:hAnsi="宋体" w:cs="宋体"/>
                <w:b/>
                <w:bCs/>
                <w:color w:val="000000" w:themeColor="text1"/>
                <w:sz w:val="21"/>
                <w:szCs w:val="21"/>
                <w:highlight w:val="yellow"/>
                <w:lang w:eastAsia="zh-CN"/>
                <w14:textFill>
                  <w14:solidFill>
                    <w14:schemeClr w14:val="tx1"/>
                  </w14:solidFill>
                </w14:textFill>
              </w:rPr>
              <w:t>，</w:t>
            </w:r>
            <w:r>
              <w:rPr>
                <w:rFonts w:hint="eastAsia" w:ascii="宋体" w:hAnsi="宋体" w:cs="宋体"/>
                <w:b/>
                <w:bCs/>
                <w:color w:val="000000" w:themeColor="text1"/>
                <w:sz w:val="21"/>
                <w:szCs w:val="21"/>
                <w:highlight w:val="yellow"/>
                <w:lang w:val="en-US" w:eastAsia="zh-CN"/>
                <w14:textFill>
                  <w14:solidFill>
                    <w14:schemeClr w14:val="tx1"/>
                  </w14:solidFill>
                </w14:textFill>
              </w:rPr>
              <w:t>若与法定节假日顺延至节后第一天</w:t>
            </w:r>
            <w:r>
              <w:rPr>
                <w:rFonts w:hint="eastAsia" w:ascii="宋体" w:hAnsi="宋体" w:cs="宋体"/>
                <w:b/>
                <w:bCs/>
                <w:color w:val="000000" w:themeColor="text1"/>
                <w:sz w:val="21"/>
                <w:szCs w:val="21"/>
                <w:highlight w:val="yellow"/>
                <w14:textFill>
                  <w14:solidFill>
                    <w14:schemeClr w14:val="tx1"/>
                  </w14:solidFill>
                </w14:textFill>
              </w:rPr>
              <w:t>）</w:t>
            </w:r>
          </w:p>
        </w:tc>
      </w:tr>
    </w:tbl>
    <w:p w14:paraId="677CC82D">
      <w:pPr>
        <w:spacing w:beforeLines="0" w:afterLines="0"/>
        <w:rPr>
          <w:rFonts w:hint="default"/>
          <w:color w:val="auto"/>
          <w:sz w:val="21"/>
          <w:szCs w:val="24"/>
        </w:rPr>
      </w:pPr>
      <w:r>
        <w:rPr>
          <w:rFonts w:hint="eastAsia" w:ascii="Times New Roman" w:hAnsi="Times New Roman"/>
          <w:color w:val="auto"/>
          <w:sz w:val="21"/>
          <w:szCs w:val="21"/>
        </w:rPr>
        <w:t>注：供应商须知正文与前附表内容不一致时，以供应商须知前附表的内容为准。</w:t>
      </w:r>
    </w:p>
    <w:p w14:paraId="3545BA27">
      <w:pPr>
        <w:spacing w:beforeLines="0" w:afterLines="0"/>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br w:type="page"/>
      </w:r>
    </w:p>
    <w:p w14:paraId="36633DEA">
      <w:pPr>
        <w:spacing w:beforeLines="0" w:afterLines="0"/>
        <w:jc w:val="center"/>
        <w:rPr>
          <w:rFonts w:hint="default"/>
          <w:color w:val="auto"/>
          <w:sz w:val="21"/>
          <w:szCs w:val="24"/>
        </w:rPr>
      </w:pPr>
      <w:r>
        <w:rPr>
          <w:rFonts w:hint="eastAsia" w:ascii="黑体" w:eastAsia="黑体"/>
          <w:color w:val="auto"/>
          <w:sz w:val="24"/>
          <w:szCs w:val="24"/>
        </w:rPr>
        <w:t>附录1资格审查条件（资质最低条件）</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A15D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24AA1258">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企业资质等级要求</w:t>
            </w:r>
          </w:p>
        </w:tc>
      </w:tr>
      <w:tr w14:paraId="2769E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50AC8562">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color w:val="auto"/>
                <w:sz w:val="22"/>
                <w:szCs w:val="22"/>
              </w:rPr>
            </w:pPr>
            <w:r>
              <w:rPr>
                <w:rFonts w:hint="eastAsia" w:ascii="Times New Roman" w:hAnsi="Times New Roman"/>
                <w:color w:val="auto"/>
                <w:sz w:val="21"/>
                <w:szCs w:val="22"/>
                <w:u w:val="none"/>
                <w:lang w:val="en-US" w:eastAsia="zh-CN"/>
              </w:rPr>
              <w:t xml:space="preserve">具备独立法人资格，持有有效的营业执照。   </w:t>
            </w:r>
          </w:p>
        </w:tc>
      </w:tr>
    </w:tbl>
    <w:p w14:paraId="3385A9D5">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444CBF6A">
      <w:pPr>
        <w:pStyle w:val="8"/>
        <w:spacing w:beforeLines="0" w:afterLines="0"/>
        <w:rPr>
          <w:rFonts w:hint="default"/>
          <w:color w:val="auto"/>
          <w:sz w:val="21"/>
          <w:szCs w:val="24"/>
        </w:rPr>
      </w:pPr>
    </w:p>
    <w:p w14:paraId="15C46374">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2</w:t>
      </w:r>
      <w:r>
        <w:rPr>
          <w:rFonts w:hint="eastAsia" w:ascii="黑体" w:eastAsia="黑体"/>
          <w:color w:val="auto"/>
          <w:sz w:val="24"/>
          <w:szCs w:val="24"/>
        </w:rPr>
        <w:t xml:space="preserve"> 资格审查条件（业绩最低要求）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4F1B1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0A29DA83">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业 绩 要 求</w:t>
            </w:r>
          </w:p>
        </w:tc>
      </w:tr>
      <w:tr w14:paraId="553C5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3038A219">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default"/>
                <w:color w:val="auto"/>
                <w:sz w:val="21"/>
                <w:szCs w:val="24"/>
              </w:rPr>
            </w:pPr>
            <w:r>
              <w:rPr>
                <w:rFonts w:hint="eastAsia" w:ascii="Times New Roman" w:hAnsi="Times New Roman"/>
                <w:color w:val="000000" w:themeColor="text1"/>
                <w:sz w:val="21"/>
                <w:szCs w:val="22"/>
                <w:highlight w:val="none"/>
                <w:lang w:val="en-US" w:eastAsia="zh-CN"/>
                <w14:textFill>
                  <w14:solidFill>
                    <w14:schemeClr w14:val="tx1"/>
                  </w14:solidFill>
                </w14:textFill>
              </w:rPr>
              <w:t>提供2022年1月1日（以合同签订时间为准）以来，任一年度内累计合同额不低于300万的蒸压加气混凝土砌块供应合同业绩，每个业绩至少提供不低于合同金额50%的增值税发票（或提供不低于资格审查要求业绩金额的增值税发票），未提供或提供发票金额不足的，该业绩无效。</w:t>
            </w:r>
          </w:p>
        </w:tc>
      </w:tr>
    </w:tbl>
    <w:p w14:paraId="2889880A">
      <w:pPr>
        <w:spacing w:beforeLines="0" w:afterLines="0"/>
        <w:rPr>
          <w:rFonts w:hint="default"/>
          <w:color w:val="auto"/>
          <w:sz w:val="21"/>
          <w:szCs w:val="24"/>
        </w:rPr>
      </w:pPr>
      <w:r>
        <w:rPr>
          <w:rFonts w:hint="eastAsia"/>
          <w:color w:val="auto"/>
          <w:sz w:val="21"/>
          <w:szCs w:val="24"/>
        </w:rPr>
        <w:t>业绩证明材料要求如下，否则业绩不予认可。</w:t>
      </w:r>
    </w:p>
    <w:p w14:paraId="06EBEC1E">
      <w:pPr>
        <w:spacing w:beforeLines="0" w:afterLines="0"/>
        <w:ind w:firstLine="420" w:firstLineChars="200"/>
        <w:rPr>
          <w:rFonts w:hint="default"/>
          <w:color w:val="auto"/>
          <w:sz w:val="21"/>
          <w:szCs w:val="24"/>
        </w:rPr>
      </w:pPr>
      <w:r>
        <w:rPr>
          <w:rFonts w:hint="eastAsia"/>
          <w:color w:val="auto"/>
          <w:sz w:val="21"/>
          <w:szCs w:val="24"/>
        </w:rPr>
        <w:t xml:space="preserve">①合同协议书扫描件；                                                                                                                                                                                                                                                                                                                                                                                                                                                                                                                                                                                                                                                                                                                                                                                                                                                                                                                                                                                                                                                                                                                                                                                                                                                                                                                                                                                                                                                                                                                                                                                                                                                                                                                                                                                                                                                                                                                                                                                                                                                                                                                                                                          </w:t>
      </w:r>
    </w:p>
    <w:p w14:paraId="4B71BF09">
      <w:pPr>
        <w:spacing w:beforeLines="0" w:afterLines="0"/>
        <w:ind w:firstLine="420" w:firstLineChars="200"/>
        <w:rPr>
          <w:rFonts w:hint="default"/>
          <w:color w:val="auto"/>
          <w:sz w:val="21"/>
          <w:szCs w:val="24"/>
        </w:rPr>
      </w:pPr>
      <w:r>
        <w:rPr>
          <w:rFonts w:hint="eastAsia"/>
          <w:color w:val="auto"/>
          <w:sz w:val="21"/>
          <w:szCs w:val="24"/>
        </w:rPr>
        <w:t>②若合同协议书中不能明确反映出采购文件所要求内容的（如合同金额、合同签订时间、供货内容等），则须提供业主单位（甲方）出具加盖公章的证明材料扫描件。</w:t>
      </w:r>
    </w:p>
    <w:p w14:paraId="1CE603AE">
      <w:pPr>
        <w:spacing w:beforeLines="0" w:afterLines="0"/>
        <w:ind w:firstLine="420" w:firstLineChars="200"/>
        <w:rPr>
          <w:rFonts w:hint="default"/>
          <w:color w:val="auto"/>
          <w:sz w:val="21"/>
          <w:szCs w:val="24"/>
        </w:rPr>
      </w:pPr>
      <w:r>
        <w:rPr>
          <w:rFonts w:hint="eastAsia"/>
          <w:color w:val="auto"/>
          <w:sz w:val="21"/>
          <w:szCs w:val="24"/>
        </w:rPr>
        <w:t>③若业绩合同中包含多项设备，则合同中应能体现资格要求中所需设备的内容和金额，无法体现的，须提供供货单据、供货发票、业主验收单等能证明相关评审因素的证明材料，否则业绩不予认可。</w:t>
      </w:r>
    </w:p>
    <w:p w14:paraId="7C6073DC">
      <w:pPr>
        <w:spacing w:beforeLines="0" w:afterLines="0"/>
        <w:ind w:firstLine="420" w:firstLineChars="200"/>
        <w:rPr>
          <w:rFonts w:hint="eastAsia" w:ascii="黑体" w:eastAsia="黑体"/>
          <w:color w:val="auto"/>
          <w:sz w:val="21"/>
          <w:szCs w:val="24"/>
        </w:rPr>
      </w:pPr>
      <w:r>
        <w:rPr>
          <w:rFonts w:hint="eastAsia"/>
          <w:color w:val="auto"/>
          <w:sz w:val="21"/>
          <w:szCs w:val="24"/>
        </w:rPr>
        <w:t>④如近年来，响应人法人机构发生合法变更或重组或法人名称变更时，应提供相关部门的合法批件扫描件或其他相关证明材料扫描件来证明其所</w:t>
      </w:r>
      <w:r>
        <w:rPr>
          <w:rFonts w:hint="eastAsia"/>
          <w:color w:val="auto"/>
          <w:sz w:val="21"/>
          <w:szCs w:val="21"/>
        </w:rPr>
        <w:t>附业绩的继承性。</w:t>
      </w:r>
    </w:p>
    <w:p w14:paraId="48B8FA0E">
      <w:pPr>
        <w:spacing w:beforeLines="0" w:afterLines="0"/>
        <w:ind w:firstLine="480" w:firstLineChars="200"/>
        <w:rPr>
          <w:rFonts w:hint="eastAsia" w:ascii="黑体" w:eastAsia="黑体"/>
          <w:color w:val="auto"/>
          <w:sz w:val="24"/>
          <w:szCs w:val="24"/>
        </w:rPr>
      </w:pPr>
    </w:p>
    <w:p w14:paraId="2DB8E045">
      <w:pPr>
        <w:pStyle w:val="8"/>
        <w:spacing w:beforeLines="0" w:afterLines="0"/>
        <w:rPr>
          <w:rFonts w:hint="default"/>
          <w:color w:val="auto"/>
          <w:sz w:val="21"/>
          <w:szCs w:val="24"/>
        </w:rPr>
      </w:pPr>
    </w:p>
    <w:p w14:paraId="3CE238E3">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3</w:t>
      </w:r>
      <w:r>
        <w:rPr>
          <w:rFonts w:hint="eastAsia" w:ascii="黑体" w:eastAsia="黑体"/>
          <w:color w:val="auto"/>
          <w:sz w:val="24"/>
          <w:szCs w:val="24"/>
        </w:rPr>
        <w:t>资格审查条件（信誉最低要求）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B2B4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71BC5B2F">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信 誉 要 求</w:t>
            </w:r>
          </w:p>
        </w:tc>
      </w:tr>
      <w:tr w14:paraId="02813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48F7190D">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1.响应人、法定代表人近三年内无行贿犯罪行为。</w:t>
            </w:r>
          </w:p>
          <w:p w14:paraId="454BC1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2.响应人未被人民法院列入失信被执行人（以“信用中国”官网www.creditchina.gov.cn查询为准）。</w:t>
            </w:r>
          </w:p>
          <w:p w14:paraId="35406D07">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3响应人没有正受到责令停业，暂扣或吊销执照，或吊销资质证书。</w:t>
            </w:r>
          </w:p>
          <w:p w14:paraId="1CA68DFE">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4.没有进入清算程序，或被宣告破产，或其他丧失履约能力的情形。</w:t>
            </w:r>
          </w:p>
          <w:p w14:paraId="736BF3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5.没有在国家企业信用信息公示系统（www.gsxt.gov.cn）中被列入严重违法失信企业名单。</w:t>
            </w:r>
          </w:p>
          <w:p w14:paraId="1A6B70D4">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6.没有法律法规规定的其他情形。</w:t>
            </w:r>
          </w:p>
          <w:p w14:paraId="3B98C3D0">
            <w:pPr>
              <w:pStyle w:val="33"/>
              <w:keepNext w:val="0"/>
              <w:keepLines w:val="0"/>
              <w:suppressLineNumbers w:val="0"/>
              <w:spacing w:before="0" w:beforeLines="0" w:beforeAutospacing="0" w:after="0" w:afterLines="0" w:afterAutospacing="0"/>
              <w:ind w:left="0" w:right="0"/>
              <w:rPr>
                <w:rFonts w:hint="eastAsia"/>
                <w:color w:val="auto"/>
                <w:sz w:val="24"/>
                <w:szCs w:val="24"/>
              </w:rPr>
            </w:pPr>
          </w:p>
        </w:tc>
      </w:tr>
    </w:tbl>
    <w:p w14:paraId="2B5B06A7">
      <w:pPr>
        <w:pStyle w:val="33"/>
        <w:spacing w:beforeLines="0" w:afterLines="0"/>
        <w:rPr>
          <w:rFonts w:hint="eastAsia" w:ascii="Times New Roman" w:hAnsi="Times New Roman" w:eastAsia="黑体"/>
          <w:color w:val="auto"/>
          <w:sz w:val="24"/>
          <w:szCs w:val="32"/>
        </w:rPr>
      </w:pPr>
    </w:p>
    <w:p w14:paraId="53DA0F8E">
      <w:pPr>
        <w:pStyle w:val="33"/>
        <w:spacing w:beforeLines="0" w:afterLines="0"/>
        <w:rPr>
          <w:rFonts w:hint="eastAsia" w:ascii="Times New Roman" w:hAnsi="Times New Roman" w:eastAsia="黑体"/>
          <w:color w:val="auto"/>
          <w:sz w:val="24"/>
          <w:szCs w:val="32"/>
        </w:rPr>
      </w:pPr>
    </w:p>
    <w:p w14:paraId="2AB1716A">
      <w:pPr>
        <w:spacing w:beforeLines="0" w:afterLines="0"/>
        <w:jc w:val="center"/>
        <w:rPr>
          <w:rFonts w:hint="eastAsia" w:ascii="黑体" w:eastAsia="黑体"/>
          <w:color w:val="auto"/>
          <w:sz w:val="24"/>
          <w:szCs w:val="24"/>
        </w:rPr>
      </w:pPr>
    </w:p>
    <w:bookmarkEnd w:id="38"/>
    <w:bookmarkEnd w:id="39"/>
    <w:bookmarkEnd w:id="40"/>
    <w:p w14:paraId="0E308B3B">
      <w:pPr>
        <w:keepNext/>
        <w:keepLines/>
        <w:spacing w:before="156" w:beforeLines="50" w:after="156" w:afterLines="50" w:line="360" w:lineRule="auto"/>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总则</w:t>
      </w:r>
    </w:p>
    <w:p w14:paraId="7F76D96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1.1 </w:t>
      </w:r>
      <w:r>
        <w:rPr>
          <w:rFonts w:hint="eastAsia" w:ascii="Times New Roman" w:hAnsi="Times New Roman" w:eastAsia="黑体"/>
          <w:color w:val="auto"/>
          <w:sz w:val="24"/>
          <w:szCs w:val="32"/>
        </w:rPr>
        <w:t>质量要求</w:t>
      </w:r>
    </w:p>
    <w:p w14:paraId="03C877FC">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本合同包的质量要求：见供应商须知前附表。</w:t>
      </w:r>
    </w:p>
    <w:p w14:paraId="48C197C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2</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供应商资格要求</w:t>
      </w:r>
    </w:p>
    <w:p w14:paraId="34248A98">
      <w:pPr>
        <w:spacing w:beforeLines="0" w:afterLines="0" w:line="440" w:lineRule="exact"/>
        <w:ind w:firstLine="420"/>
        <w:rPr>
          <w:rFonts w:hint="eastAsia"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.1</w:t>
      </w:r>
      <w:r>
        <w:rPr>
          <w:rFonts w:hint="eastAsia" w:ascii="Times New Roman" w:hAnsi="Times New Roman"/>
          <w:color w:val="auto"/>
          <w:sz w:val="21"/>
          <w:szCs w:val="21"/>
        </w:rPr>
        <w:t xml:space="preserve"> 供应商应具备承担本合同包供货的资质条件、能力和信誉：见第一章 采购公告要求。 </w:t>
      </w:r>
    </w:p>
    <w:p w14:paraId="372F79FC">
      <w:pPr>
        <w:spacing w:beforeLines="0" w:afterLines="0" w:line="440" w:lineRule="exact"/>
        <w:ind w:firstLine="420"/>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w:t>
      </w:r>
      <w:r>
        <w:rPr>
          <w:rFonts w:hint="eastAsia" w:ascii="Times New Roman" w:hAnsi="Times New Roman"/>
          <w:color w:val="auto"/>
          <w:sz w:val="21"/>
          <w:szCs w:val="21"/>
        </w:rPr>
        <w:t>2</w:t>
      </w:r>
      <w:r>
        <w:rPr>
          <w:rFonts w:hint="default" w:ascii="Times New Roman" w:hAnsi="Times New Roman"/>
          <w:color w:val="auto"/>
          <w:sz w:val="21"/>
          <w:szCs w:val="21"/>
        </w:rPr>
        <w:t xml:space="preserve"> </w:t>
      </w:r>
      <w:r>
        <w:rPr>
          <w:rFonts w:hint="eastAsia" w:ascii="Times New Roman" w:hAnsi="Times New Roman"/>
          <w:color w:val="auto"/>
          <w:sz w:val="21"/>
          <w:szCs w:val="21"/>
        </w:rPr>
        <w:t>其他要求：见供应商须知前附表。</w:t>
      </w:r>
    </w:p>
    <w:p w14:paraId="207B83B2">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1.2.3 是否接受联合体：见供应商须知前附表。</w:t>
      </w:r>
    </w:p>
    <w:p w14:paraId="33A07E53">
      <w:pPr>
        <w:spacing w:beforeLines="0" w:afterLines="0" w:line="440" w:lineRule="exact"/>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费用承担</w:t>
      </w:r>
    </w:p>
    <w:p w14:paraId="6EF55D86">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供应商准备和参加询比活动发生的费用自理。</w:t>
      </w:r>
    </w:p>
    <w:p w14:paraId="170472F6">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4</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保密</w:t>
      </w:r>
    </w:p>
    <w:p w14:paraId="7C40A9CD">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参与询比活动的各方应对询比文件和响应文件中的商业和技术等秘密保密，否则应承担相应的法律责任。</w:t>
      </w:r>
    </w:p>
    <w:p w14:paraId="18E42AC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5</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计量单位</w:t>
      </w:r>
    </w:p>
    <w:p w14:paraId="4DA35D7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所有计量均采用中华人民共和国法定计量单位。</w:t>
      </w:r>
    </w:p>
    <w:p w14:paraId="16CA8AA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6</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踏勘现场</w:t>
      </w:r>
    </w:p>
    <w:p w14:paraId="4E267C3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供应商自行踏勘现场且费用自理。</w:t>
      </w:r>
    </w:p>
    <w:p w14:paraId="428B236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7</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分包</w:t>
      </w:r>
    </w:p>
    <w:p w14:paraId="2E5B987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不允许分包。</w:t>
      </w:r>
    </w:p>
    <w:p w14:paraId="3AE77BC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8</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偏差</w:t>
      </w:r>
    </w:p>
    <w:p w14:paraId="2DB4365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.1</w:t>
      </w:r>
      <w:r>
        <w:rPr>
          <w:rFonts w:hint="eastAsia" w:ascii="Times New Roman" w:hAnsi="Times New Roman"/>
          <w:color w:val="auto"/>
          <w:sz w:val="21"/>
          <w:szCs w:val="24"/>
        </w:rPr>
        <w:t xml:space="preserve"> 偏差包括重大偏差和细微偏差。</w:t>
      </w:r>
    </w:p>
    <w:p w14:paraId="3475C07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响应文件存在“评审办法”中所列任一否决响应文件情形的，均属于存在重大偏差，响应文件将被否决。</w:t>
      </w:r>
    </w:p>
    <w:p w14:paraId="4A2B8176">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询比文件</w:t>
      </w:r>
    </w:p>
    <w:p w14:paraId="2A70C61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询比文件的组成</w:t>
      </w:r>
    </w:p>
    <w:p w14:paraId="6A3484E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本询比文件包括：</w:t>
      </w:r>
    </w:p>
    <w:p w14:paraId="5F91D2B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（1）采购公告；</w:t>
      </w:r>
    </w:p>
    <w:p w14:paraId="76645C9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（2）供应商须知；</w:t>
      </w:r>
    </w:p>
    <w:p w14:paraId="4B19AA2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（3）评审办法；</w:t>
      </w:r>
    </w:p>
    <w:p w14:paraId="3C38758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（4）合同内容；</w:t>
      </w:r>
    </w:p>
    <w:p w14:paraId="24C779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w:t>
      </w:r>
      <w:r>
        <w:rPr>
          <w:rFonts w:hint="eastAsia" w:ascii="Times New Roman" w:hAnsi="Times New Roman"/>
          <w:color w:val="auto"/>
          <w:sz w:val="21"/>
          <w:szCs w:val="24"/>
          <w:lang w:val="en-US" w:eastAsia="zh-CN"/>
        </w:rPr>
        <w:t>采购需求</w:t>
      </w:r>
      <w:r>
        <w:rPr>
          <w:rFonts w:hint="eastAsia" w:ascii="Times New Roman" w:hAnsi="Times New Roman"/>
          <w:color w:val="auto"/>
          <w:sz w:val="21"/>
          <w:szCs w:val="24"/>
        </w:rPr>
        <w:t>及清单；</w:t>
      </w:r>
    </w:p>
    <w:p w14:paraId="5C90AE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（6）响应文件格式。</w:t>
      </w:r>
    </w:p>
    <w:p w14:paraId="4681A9D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根据本章对询比文件所作的澄清、修改，构成询比文件的组成部分。</w:t>
      </w:r>
    </w:p>
    <w:p w14:paraId="3179886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当询比文件、询比文件的澄清或修改等在同一内容的表述上不一致时，以最后发出的书面文件为准。</w:t>
      </w:r>
    </w:p>
    <w:p w14:paraId="0CE1F2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2.2 </w:t>
      </w:r>
      <w:r>
        <w:rPr>
          <w:rFonts w:hint="eastAsia" w:ascii="Times New Roman" w:hAnsi="Times New Roman" w:eastAsia="黑体"/>
          <w:color w:val="auto"/>
          <w:sz w:val="24"/>
          <w:szCs w:val="32"/>
        </w:rPr>
        <w:t>询比文件的澄清与修改</w:t>
      </w:r>
    </w:p>
    <w:p w14:paraId="1D6F411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2.2.1</w:t>
      </w:r>
      <w:r>
        <w:rPr>
          <w:rFonts w:hint="eastAsia" w:ascii="Times New Roman" w:hAnsi="Times New Roman"/>
          <w:color w:val="auto"/>
          <w:sz w:val="21"/>
          <w:szCs w:val="24"/>
        </w:rPr>
        <w:t xml:space="preserve"> 供应商如有疑问，应在递交响应文件的截止时间前3日前通过“安徽交控建设工程集团有限公司”官网平台联系采购人对询比文件予以澄清或修改。</w:t>
      </w:r>
    </w:p>
    <w:p w14:paraId="75075CEB">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除非采购人认为确有必要答复，否则，采购人有权拒绝回复供应商在本章第2.2.1项规定的时间后提出的任何澄清或修改要求。</w:t>
      </w:r>
    </w:p>
    <w:p w14:paraId="4029E54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响应文件</w:t>
      </w:r>
    </w:p>
    <w:p w14:paraId="4C03398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3.1</w:t>
      </w:r>
      <w:r>
        <w:rPr>
          <w:rFonts w:hint="eastAsia" w:ascii="Times New Roman" w:hAnsi="Times New Roman" w:eastAsia="黑体"/>
          <w:color w:val="auto"/>
          <w:sz w:val="24"/>
          <w:szCs w:val="32"/>
        </w:rPr>
        <w:t>响应文件的组成</w:t>
      </w:r>
    </w:p>
    <w:p w14:paraId="180FC9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响应文件应包括下列内容：</w:t>
      </w:r>
    </w:p>
    <w:p w14:paraId="1A593DC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1.报价函</w:t>
      </w:r>
    </w:p>
    <w:p w14:paraId="2279673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w:t>
      </w:r>
      <w:r>
        <w:rPr>
          <w:rFonts w:hint="eastAsia" w:ascii="宋体" w:hAnsi="宋体" w:cs="宋体"/>
          <w:color w:val="auto"/>
          <w:sz w:val="21"/>
          <w:szCs w:val="24"/>
        </w:rPr>
        <w:t>法定代表人身份证明及授权委托书</w:t>
      </w:r>
    </w:p>
    <w:p w14:paraId="78AE4DF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3.已标价的报价清单</w:t>
      </w:r>
    </w:p>
    <w:p w14:paraId="5A5386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4.供应商基本情况</w:t>
      </w:r>
    </w:p>
    <w:p w14:paraId="736D7F2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5.近年类似业绩情况</w:t>
      </w:r>
    </w:p>
    <w:p w14:paraId="5E19B7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6.信誉情况</w:t>
      </w:r>
    </w:p>
    <w:p w14:paraId="556AF68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7.其它材料</w:t>
      </w:r>
    </w:p>
    <w:p w14:paraId="57B508D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3.2 </w:t>
      </w:r>
      <w:r>
        <w:rPr>
          <w:rFonts w:hint="eastAsia" w:ascii="Times New Roman" w:hAnsi="Times New Roman" w:eastAsia="黑体"/>
          <w:color w:val="auto"/>
          <w:sz w:val="24"/>
          <w:szCs w:val="32"/>
        </w:rPr>
        <w:t xml:space="preserve">报价要求 </w:t>
      </w:r>
    </w:p>
    <w:p w14:paraId="2F0E97E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3.2.1 </w:t>
      </w:r>
      <w:r>
        <w:rPr>
          <w:rFonts w:hint="eastAsia" w:ascii="Times New Roman" w:hAnsi="Times New Roman"/>
          <w:color w:val="auto"/>
          <w:sz w:val="21"/>
          <w:szCs w:val="24"/>
        </w:rPr>
        <w:t>报价应包括国家规定的增值税税金。</w:t>
      </w:r>
    </w:p>
    <w:p w14:paraId="0EAB451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3.2.2 供应商应按第六章“响应文件格式”的要求在报价函中进行报价并填写工程量清单相应表格。</w:t>
      </w:r>
    </w:p>
    <w:p w14:paraId="4448682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3</w:t>
      </w:r>
      <w:r>
        <w:rPr>
          <w:rFonts w:hint="default" w:ascii="Times New Roman" w:hAnsi="Times New Roman"/>
          <w:color w:val="auto"/>
          <w:sz w:val="21"/>
          <w:szCs w:val="24"/>
        </w:rPr>
        <w:t xml:space="preserve"> </w:t>
      </w:r>
      <w:r>
        <w:rPr>
          <w:rFonts w:hint="eastAsia" w:ascii="Times New Roman" w:hAnsi="Times New Roman"/>
          <w:color w:val="auto"/>
          <w:sz w:val="21"/>
          <w:szCs w:val="24"/>
        </w:rPr>
        <w:t>采购人设有最高限价的，供应商的报价不得超过最高限价，否则其报价将被否决，最高限价见第一章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w:t>
      </w:r>
    </w:p>
    <w:p w14:paraId="128825C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3.2.4本项目的报价方式为</w:t>
      </w:r>
      <w:r>
        <w:rPr>
          <w:rFonts w:hint="eastAsia" w:ascii="Times New Roman" w:hAnsi="Times New Roman"/>
          <w:color w:val="auto"/>
          <w:sz w:val="21"/>
          <w:szCs w:val="24"/>
          <w:u w:val="single"/>
        </w:rPr>
        <w:t xml:space="preserve">  见供应商须知前附表  </w:t>
      </w:r>
      <w:r>
        <w:rPr>
          <w:rFonts w:hint="eastAsia" w:ascii="Times New Roman" w:hAnsi="Times New Roman"/>
          <w:color w:val="auto"/>
          <w:sz w:val="21"/>
          <w:szCs w:val="24"/>
        </w:rPr>
        <w:t>。</w:t>
      </w:r>
    </w:p>
    <w:p w14:paraId="0495F76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4"/>
        </w:rPr>
        <w:t>报价的其他要求：</w:t>
      </w:r>
      <w:r>
        <w:rPr>
          <w:rFonts w:hint="eastAsia" w:ascii="Times New Roman" w:hAnsi="Times New Roman"/>
          <w:color w:val="auto"/>
          <w:sz w:val="21"/>
          <w:szCs w:val="21"/>
        </w:rPr>
        <w:t>见供应商须知前附表</w:t>
      </w:r>
      <w:r>
        <w:rPr>
          <w:rFonts w:hint="eastAsia" w:ascii="Times New Roman" w:hAnsi="Times New Roman"/>
          <w:color w:val="auto"/>
          <w:sz w:val="21"/>
          <w:szCs w:val="24"/>
        </w:rPr>
        <w:t>。</w:t>
      </w:r>
    </w:p>
    <w:p w14:paraId="49F5D85D">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3.3</w:t>
      </w:r>
      <w:r>
        <w:rPr>
          <w:rFonts w:hint="eastAsia" w:ascii="Times New Roman" w:hAnsi="Times New Roman" w:eastAsia="黑体"/>
          <w:color w:val="auto"/>
          <w:sz w:val="24"/>
          <w:szCs w:val="32"/>
        </w:rPr>
        <w:t>响应有效期</w:t>
      </w:r>
    </w:p>
    <w:p w14:paraId="72E1396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3.3.1 </w:t>
      </w:r>
      <w:r>
        <w:rPr>
          <w:rFonts w:hint="eastAsia" w:ascii="Times New Roman" w:hAnsi="Times New Roman"/>
          <w:color w:val="auto"/>
          <w:sz w:val="21"/>
          <w:szCs w:val="24"/>
        </w:rPr>
        <w:t>响应有效期为</w:t>
      </w:r>
      <w:r>
        <w:rPr>
          <w:rFonts w:hint="eastAsia" w:ascii="Times New Roman" w:hAnsi="Times New Roman"/>
          <w:color w:val="auto"/>
          <w:sz w:val="21"/>
          <w:szCs w:val="21"/>
        </w:rPr>
        <w:t>自供应商递交响应文件截止之日起计算9</w:t>
      </w:r>
      <w:r>
        <w:rPr>
          <w:rFonts w:hint="default" w:ascii="Times New Roman" w:hAnsi="Times New Roman"/>
          <w:color w:val="auto"/>
          <w:sz w:val="21"/>
          <w:szCs w:val="21"/>
        </w:rPr>
        <w:t>0</w:t>
      </w:r>
      <w:r>
        <w:rPr>
          <w:rFonts w:hint="eastAsia" w:ascii="Times New Roman" w:hAnsi="Times New Roman"/>
          <w:color w:val="auto"/>
          <w:sz w:val="21"/>
          <w:szCs w:val="24"/>
        </w:rPr>
        <w:t>日。</w:t>
      </w:r>
    </w:p>
    <w:p w14:paraId="0C9D8CC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3.3.2 </w:t>
      </w:r>
      <w:r>
        <w:rPr>
          <w:rFonts w:hint="eastAsia" w:ascii="Times New Roman" w:hAnsi="Times New Roman"/>
          <w:color w:val="auto"/>
          <w:sz w:val="21"/>
          <w:szCs w:val="24"/>
        </w:rPr>
        <w:t>在响应有效期内，供应商撤销响应文件的，应承担询比文件和法律规定的责任。</w:t>
      </w:r>
    </w:p>
    <w:p w14:paraId="7D07A2C0">
      <w:pPr>
        <w:keepNext/>
        <w:keepLines/>
        <w:spacing w:before="120" w:beforeLines="0" w:after="120" w:afterLines="0" w:line="415" w:lineRule="auto"/>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3.4</w:t>
      </w:r>
      <w:r>
        <w:rPr>
          <w:rFonts w:hint="eastAsia" w:ascii="Times New Roman" w:hAnsi="Times New Roman" w:eastAsia="黑体"/>
          <w:color w:val="auto"/>
          <w:sz w:val="24"/>
          <w:szCs w:val="32"/>
        </w:rPr>
        <w:t>响应保证金</w:t>
      </w:r>
    </w:p>
    <w:p w14:paraId="60DB19B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3.4.1 </w:t>
      </w:r>
      <w:r>
        <w:rPr>
          <w:rFonts w:hint="eastAsia" w:ascii="Times New Roman" w:hAnsi="Times New Roman"/>
          <w:color w:val="auto"/>
          <w:sz w:val="21"/>
          <w:szCs w:val="24"/>
        </w:rPr>
        <w:t>供应商在递交响应文件的同时，应按第一章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的要求递交响应保证金，并作为其响应文件的组成部分。</w:t>
      </w:r>
    </w:p>
    <w:p w14:paraId="3CAD0FE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无论采取何种形式的响应保证金，响应保证金有效期均应与响应有效期一致。</w:t>
      </w:r>
    </w:p>
    <w:p w14:paraId="5EFBC10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3.4.2 </w:t>
      </w:r>
      <w:r>
        <w:rPr>
          <w:rFonts w:hint="eastAsia" w:ascii="Times New Roman" w:hAnsi="Times New Roman"/>
          <w:color w:val="auto"/>
          <w:sz w:val="21"/>
          <w:szCs w:val="24"/>
        </w:rPr>
        <w:t>供应商不按本章第3.4.1项要求提交响应保证金的，评审小组将否决其响应文件。</w:t>
      </w:r>
    </w:p>
    <w:p w14:paraId="27C2EBBB">
      <w:pPr>
        <w:spacing w:beforeLines="0" w:afterLines="0" w:line="440" w:lineRule="exact"/>
        <w:ind w:firstLine="420"/>
        <w:rPr>
          <w:rFonts w:hint="default" w:ascii="Times New Roman" w:hAnsi="Times New Roman"/>
          <w:color w:val="auto"/>
          <w:sz w:val="21"/>
          <w:szCs w:val="24"/>
          <w:highlight w:val="yellow"/>
        </w:rPr>
      </w:pPr>
      <w:r>
        <w:rPr>
          <w:rFonts w:hint="default" w:ascii="Times New Roman" w:hAnsi="Times New Roman"/>
          <w:color w:val="auto"/>
          <w:sz w:val="21"/>
          <w:szCs w:val="24"/>
          <w:highlight w:val="yellow"/>
        </w:rPr>
        <w:t xml:space="preserve">3.4.3 </w:t>
      </w:r>
      <w:r>
        <w:rPr>
          <w:rFonts w:hint="eastAsia" w:ascii="Times New Roman" w:hAnsi="Times New Roman"/>
          <w:color w:val="auto"/>
          <w:sz w:val="21"/>
          <w:szCs w:val="24"/>
          <w:highlight w:val="yellow"/>
        </w:rPr>
        <w:t>采购人在与成交人签订合同后10日内办理退还响应保证金手续。</w:t>
      </w:r>
    </w:p>
    <w:p w14:paraId="3C5A5A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3.4.4 </w:t>
      </w:r>
      <w:r>
        <w:rPr>
          <w:rFonts w:hint="eastAsia" w:ascii="Times New Roman" w:hAnsi="Times New Roman"/>
          <w:color w:val="auto"/>
          <w:sz w:val="21"/>
          <w:szCs w:val="24"/>
        </w:rPr>
        <w:t>有下列情形之一的，响应保证金将不予退还：</w:t>
      </w:r>
    </w:p>
    <w:p w14:paraId="0A47874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（1）供应商在规定的响应有效期内撤销其响应文件；</w:t>
      </w:r>
    </w:p>
    <w:p w14:paraId="0E196E3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8B40A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1"/>
        </w:rPr>
        <w:t>供应商须知前附表规定的其他情形</w:t>
      </w:r>
      <w:r>
        <w:rPr>
          <w:rFonts w:hint="eastAsia" w:ascii="Times New Roman" w:hAnsi="Times New Roman"/>
          <w:color w:val="auto"/>
          <w:sz w:val="21"/>
          <w:szCs w:val="24"/>
        </w:rPr>
        <w:t>。</w:t>
      </w:r>
    </w:p>
    <w:p w14:paraId="02E7628C">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3.5</w:t>
      </w:r>
      <w:r>
        <w:rPr>
          <w:rFonts w:hint="eastAsia" w:ascii="Times New Roman" w:hAnsi="Times New Roman" w:eastAsia="黑体"/>
          <w:color w:val="auto"/>
          <w:sz w:val="24"/>
          <w:szCs w:val="32"/>
        </w:rPr>
        <w:t>资格审查资料</w:t>
      </w:r>
    </w:p>
    <w:p w14:paraId="5FB771F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供应商应按“响应文件格式”的规定提供资格审查资料，以证明其满足本章第1.2款规定的资质、能力、信誉等要求。</w:t>
      </w:r>
    </w:p>
    <w:p w14:paraId="397378A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6响应文件的编制</w:t>
      </w:r>
    </w:p>
    <w:p w14:paraId="5A7FF17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.1</w:t>
      </w:r>
      <w:r>
        <w:rPr>
          <w:rFonts w:hint="eastAsia" w:ascii="Times New Roman" w:hAnsi="Times New Roman"/>
          <w:color w:val="auto"/>
          <w:sz w:val="21"/>
          <w:szCs w:val="24"/>
        </w:rPr>
        <w:t xml:space="preserve"> 响应文件应按“响应文件格式”进行编写，如有必要，可以增加附页，作为响应文件的组成部分。</w:t>
      </w:r>
    </w:p>
    <w:p w14:paraId="2629814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响应文件应当对询比文件有关工期、响应有效期、质量要求、技术标准和要求、采购范围等实质性内容作出响应。</w:t>
      </w:r>
    </w:p>
    <w:p w14:paraId="10F6FCA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.3</w:t>
      </w:r>
      <w:r>
        <w:rPr>
          <w:rFonts w:hint="eastAsia" w:ascii="Times New Roman" w:hAnsi="Times New Roman"/>
          <w:color w:val="auto"/>
          <w:sz w:val="21"/>
          <w:szCs w:val="24"/>
        </w:rPr>
        <w:t>响应文件的制作应满足以下规定：</w:t>
      </w:r>
    </w:p>
    <w:p w14:paraId="7219CF5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14:paraId="24CE8D7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（2）响应文件正本一份，副本一份。正本和副本的封面右上角上应清楚地标记“正本”和“副本”的字样。当副本与正本不一致时，以正本文件为准。</w:t>
      </w:r>
    </w:p>
    <w:p w14:paraId="11122D8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（3）响应文件的正本与副本应分别装订。</w:t>
      </w:r>
    </w:p>
    <w:p w14:paraId="5E543E3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（4）响应文件其他要求见供应商须知前附表。</w:t>
      </w:r>
    </w:p>
    <w:p w14:paraId="3E07A6C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 </w:t>
      </w:r>
      <w:r>
        <w:rPr>
          <w:rFonts w:hint="eastAsia" w:ascii="Times New Roman" w:hAnsi="Times New Roman" w:eastAsia="黑体"/>
          <w:color w:val="auto"/>
          <w:sz w:val="24"/>
          <w:szCs w:val="32"/>
        </w:rPr>
        <w:t>响应文件的递交</w:t>
      </w:r>
    </w:p>
    <w:p w14:paraId="791A2B6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4.1</w:t>
      </w:r>
      <w:r>
        <w:rPr>
          <w:rFonts w:hint="eastAsia" w:ascii="Times New Roman" w:hAnsi="Times New Roman" w:eastAsia="黑体"/>
          <w:color w:val="auto"/>
          <w:sz w:val="24"/>
          <w:szCs w:val="32"/>
        </w:rPr>
        <w:t>响应文件的密封和标记</w:t>
      </w:r>
    </w:p>
    <w:p w14:paraId="020A86B2">
      <w:pPr>
        <w:spacing w:beforeLines="0" w:afterLines="0" w:line="440" w:lineRule="exact"/>
        <w:ind w:firstLine="420"/>
        <w:rPr>
          <w:rFonts w:hint="default" w:ascii="Times New Roman" w:hAnsi="Times New Roman"/>
          <w:b/>
          <w:color w:val="auto"/>
          <w:sz w:val="21"/>
          <w:szCs w:val="24"/>
          <w:highlight w:val="yellow"/>
        </w:rPr>
      </w:pPr>
      <w:r>
        <w:rPr>
          <w:rFonts w:hint="default" w:ascii="Times New Roman" w:hAnsi="Times New Roman"/>
          <w:b/>
          <w:color w:val="auto"/>
          <w:sz w:val="21"/>
          <w:szCs w:val="24"/>
          <w:highlight w:val="yellow"/>
        </w:rPr>
        <w:t>4.1.1</w:t>
      </w:r>
      <w:r>
        <w:rPr>
          <w:rFonts w:hint="eastAsia" w:ascii="Times New Roman" w:hAnsi="Times New Roman"/>
          <w:b/>
          <w:color w:val="auto"/>
          <w:sz w:val="21"/>
          <w:szCs w:val="24"/>
          <w:highlight w:val="yellow"/>
        </w:rPr>
        <w:t>响应文件正、副本应密封包装在一个封套内开密封。</w:t>
      </w:r>
    </w:p>
    <w:p w14:paraId="67B30C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响应文件封套上注明：</w:t>
      </w:r>
    </w:p>
    <w:p w14:paraId="2F3D9D03">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3E22194A">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)响应文件</w:t>
      </w:r>
    </w:p>
    <w:p w14:paraId="2D4F022B">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7B3623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4.1.2</w:t>
      </w:r>
      <w:r>
        <w:rPr>
          <w:rFonts w:hint="eastAsia" w:ascii="Times New Roman" w:hAnsi="Times New Roman"/>
          <w:color w:val="auto"/>
          <w:sz w:val="21"/>
          <w:szCs w:val="24"/>
        </w:rPr>
        <w:t>未按本章第4.1.1项要求密封的响应文件，采购人将予以拒收。</w:t>
      </w:r>
    </w:p>
    <w:p w14:paraId="2500E32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4.2 </w:t>
      </w:r>
      <w:r>
        <w:rPr>
          <w:rFonts w:hint="eastAsia" w:ascii="Times New Roman" w:hAnsi="Times New Roman" w:eastAsia="黑体"/>
          <w:color w:val="auto"/>
          <w:sz w:val="24"/>
          <w:szCs w:val="32"/>
        </w:rPr>
        <w:t>响应文件的递交</w:t>
      </w:r>
    </w:p>
    <w:p w14:paraId="532BA63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4.2.1</w:t>
      </w:r>
      <w:r>
        <w:rPr>
          <w:rFonts w:hint="eastAsia" w:ascii="Times New Roman" w:hAnsi="Times New Roman"/>
          <w:color w:val="auto"/>
          <w:sz w:val="21"/>
          <w:szCs w:val="24"/>
        </w:rPr>
        <w:t>供应商应当按照第一章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的规定递交响应文件</w:t>
      </w:r>
      <w:r>
        <w:rPr>
          <w:rFonts w:hint="eastAsia" w:ascii="Times New Roman" w:hAnsi="Times New Roman"/>
          <w:color w:val="auto"/>
          <w:sz w:val="21"/>
          <w:szCs w:val="24"/>
        </w:rPr>
        <w:t>。</w:t>
      </w:r>
    </w:p>
    <w:p w14:paraId="0FBEF58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递交响应文件的供应商数量不足3家时，采购人将宣布本次采购失败，并退还已递交的响应文件。</w:t>
      </w:r>
    </w:p>
    <w:p w14:paraId="73E35DA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4.2.3 除第4.2.2项规定外，供应商所递交的响应文件不予退还。</w:t>
      </w:r>
    </w:p>
    <w:p w14:paraId="18CCB6C3">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 </w:t>
      </w:r>
      <w:r>
        <w:rPr>
          <w:rFonts w:hint="eastAsia" w:ascii="Times New Roman" w:hAnsi="Times New Roman" w:eastAsia="黑体"/>
          <w:color w:val="auto"/>
          <w:sz w:val="24"/>
          <w:szCs w:val="32"/>
        </w:rPr>
        <w:t>启封</w:t>
      </w:r>
    </w:p>
    <w:p w14:paraId="264585F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5.1 </w:t>
      </w:r>
      <w:r>
        <w:rPr>
          <w:rFonts w:hint="eastAsia" w:ascii="Times New Roman" w:hAnsi="Times New Roman" w:eastAsia="黑体"/>
          <w:color w:val="auto"/>
          <w:sz w:val="24"/>
          <w:szCs w:val="32"/>
        </w:rPr>
        <w:t>启封时间和地点</w:t>
      </w:r>
    </w:p>
    <w:p w14:paraId="02ABF88E">
      <w:pPr>
        <w:spacing w:beforeLines="0" w:afterLines="0"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采购人在本章第4.2.1项规定的响应文件递交截止时间（启封时间），按照第一章“采购公告”</w:t>
      </w:r>
      <w:r>
        <w:rPr>
          <w:rFonts w:hint="eastAsia" w:ascii="Times New Roman" w:hAnsi="Times New Roman"/>
          <w:color w:val="auto"/>
          <w:sz w:val="21"/>
          <w:szCs w:val="24"/>
          <w:highlight w:val="yellow"/>
        </w:rPr>
        <w:t>第6条的规定进行启封。</w:t>
      </w:r>
    </w:p>
    <w:p w14:paraId="1A6B0FC4">
      <w:pPr>
        <w:spacing w:beforeLines="0" w:afterLines="0"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供应商若未派法定代表人或其委托代理人出席启封活动，视为该供应商默认启封结果。</w:t>
      </w:r>
    </w:p>
    <w:p w14:paraId="1810270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5.2</w:t>
      </w:r>
      <w:r>
        <w:rPr>
          <w:rFonts w:hint="eastAsia" w:ascii="Times New Roman" w:hAnsi="Times New Roman" w:eastAsia="黑体"/>
          <w:color w:val="auto"/>
          <w:sz w:val="24"/>
          <w:szCs w:val="32"/>
        </w:rPr>
        <w:t>启封程序</w:t>
      </w:r>
    </w:p>
    <w:p w14:paraId="26773FBD">
      <w:pPr>
        <w:spacing w:beforeLines="0" w:afterLines="0" w:line="440" w:lineRule="exact"/>
        <w:ind w:firstLine="420" w:firstLineChars="200"/>
        <w:rPr>
          <w:rFonts w:hint="default" w:ascii="Times New Roman" w:hAnsi="Times New Roman"/>
          <w:color w:val="auto"/>
          <w:sz w:val="21"/>
          <w:szCs w:val="24"/>
          <w:highlight w:val="none"/>
        </w:rPr>
      </w:pPr>
      <w:r>
        <w:rPr>
          <w:rFonts w:hint="default" w:ascii="Times New Roman" w:hAnsi="Times New Roman"/>
          <w:color w:val="auto"/>
          <w:sz w:val="21"/>
          <w:szCs w:val="24"/>
          <w:highlight w:val="none"/>
        </w:rPr>
        <w:t>5.2.1</w:t>
      </w:r>
      <w:r>
        <w:rPr>
          <w:rFonts w:hint="eastAsia" w:ascii="Times New Roman" w:hAnsi="Times New Roman"/>
          <w:color w:val="auto"/>
          <w:sz w:val="21"/>
          <w:szCs w:val="24"/>
          <w:highlight w:val="none"/>
        </w:rPr>
        <w:t xml:space="preserve">主持人按下列程序进行启封： </w:t>
      </w:r>
    </w:p>
    <w:p w14:paraId="5B2C7DE8">
      <w:pPr>
        <w:spacing w:beforeLines="0" w:afterLines="0" w:line="440" w:lineRule="exact"/>
        <w:ind w:firstLine="420" w:firstLineChars="20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（1）公布在响应文件递交截止时间前递交响应文件的供应商名称；</w:t>
      </w:r>
    </w:p>
    <w:p w14:paraId="4ABA03A2">
      <w:pPr>
        <w:spacing w:beforeLines="0" w:afterLines="0" w:line="440" w:lineRule="exact"/>
        <w:ind w:firstLine="420" w:firstLineChars="20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 xml:space="preserve">（2）由供应商推选的代表检查响应文件的密封情况； </w:t>
      </w:r>
    </w:p>
    <w:p w14:paraId="3960C319">
      <w:pPr>
        <w:spacing w:beforeLines="0" w:afterLines="0" w:line="440" w:lineRule="exact"/>
        <w:ind w:firstLine="420" w:firstLineChars="20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（3）开启报价文件；</w:t>
      </w:r>
    </w:p>
    <w:p w14:paraId="79CA68AB">
      <w:pPr>
        <w:spacing w:beforeLines="0" w:afterLines="0" w:line="440" w:lineRule="exact"/>
        <w:ind w:firstLine="420" w:firstLineChars="20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（4）启封结束。</w:t>
      </w:r>
    </w:p>
    <w:p w14:paraId="71DA131C">
      <w:pPr>
        <w:spacing w:beforeLines="0" w:afterLines="0" w:line="440" w:lineRule="exact"/>
        <w:ind w:firstLine="420" w:firstLineChars="200"/>
        <w:rPr>
          <w:rFonts w:hint="default" w:ascii="Times New Roman" w:hAnsi="Times New Roman"/>
          <w:color w:val="auto"/>
          <w:sz w:val="21"/>
          <w:szCs w:val="24"/>
          <w:highlight w:val="none"/>
        </w:rPr>
      </w:pPr>
      <w:r>
        <w:rPr>
          <w:rFonts w:hint="default" w:ascii="Times New Roman" w:hAnsi="Times New Roman"/>
          <w:color w:val="auto"/>
          <w:sz w:val="21"/>
          <w:szCs w:val="24"/>
          <w:highlight w:val="none"/>
        </w:rPr>
        <w:t>5.2.2</w:t>
      </w:r>
      <w:r>
        <w:rPr>
          <w:rFonts w:hint="eastAsia" w:ascii="Times New Roman" w:hAnsi="Times New Roman"/>
          <w:color w:val="auto"/>
          <w:sz w:val="21"/>
          <w:szCs w:val="24"/>
          <w:highlight w:val="none"/>
        </w:rPr>
        <w:t>供应商在启封过程中有疑问的，应当在现场提出，采购人将当场作出答复。</w:t>
      </w:r>
    </w:p>
    <w:p w14:paraId="4E281F68">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6. </w:t>
      </w:r>
      <w:r>
        <w:rPr>
          <w:rFonts w:hint="eastAsia" w:ascii="Times New Roman" w:hAnsi="Times New Roman" w:eastAsia="黑体"/>
          <w:color w:val="auto"/>
          <w:sz w:val="24"/>
          <w:szCs w:val="32"/>
        </w:rPr>
        <w:t>评审</w:t>
      </w:r>
    </w:p>
    <w:p w14:paraId="67B128B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6.1</w:t>
      </w:r>
      <w:r>
        <w:rPr>
          <w:rFonts w:hint="eastAsia" w:ascii="Times New Roman" w:hAnsi="Times New Roman" w:eastAsia="黑体"/>
          <w:color w:val="auto"/>
          <w:sz w:val="24"/>
          <w:szCs w:val="32"/>
        </w:rPr>
        <w:t>评审小组</w:t>
      </w:r>
    </w:p>
    <w:p w14:paraId="27C282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评审由采购人自行组建的评审小组负责。评审小组人数：3人及以上单数。</w:t>
      </w:r>
    </w:p>
    <w:p w14:paraId="543F1B5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w:t>
      </w:r>
      <w:r>
        <w:rPr>
          <w:rFonts w:hint="eastAsia" w:ascii="Times New Roman" w:hAnsi="Times New Roman" w:eastAsia="黑体"/>
          <w:color w:val="auto"/>
          <w:sz w:val="24"/>
          <w:szCs w:val="32"/>
        </w:rPr>
        <w:t>2评审</w:t>
      </w:r>
    </w:p>
    <w:p w14:paraId="7F4F214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.1</w:t>
      </w:r>
      <w:r>
        <w:rPr>
          <w:rFonts w:hint="eastAsia" w:ascii="Times New Roman" w:hAnsi="Times New Roman"/>
          <w:color w:val="auto"/>
          <w:sz w:val="21"/>
          <w:szCs w:val="24"/>
        </w:rPr>
        <w:t>评审小组按照第三章“评审办法”规定的方法、评审因素、标准和程序对响应文件进行评审。</w:t>
      </w:r>
    </w:p>
    <w:p w14:paraId="7290800C">
      <w:pPr>
        <w:spacing w:beforeLines="0" w:afterLines="0" w:line="440" w:lineRule="exact"/>
        <w:ind w:firstLine="420" w:firstLineChars="200"/>
        <w:rPr>
          <w:rFonts w:hint="default" w:ascii="Times New Roman" w:hAnsi="Times New Roman"/>
          <w:color w:val="auto"/>
          <w:sz w:val="21"/>
          <w:szCs w:val="24"/>
          <w:highlight w:val="none"/>
        </w:rPr>
      </w:pPr>
      <w:r>
        <w:rPr>
          <w:rFonts w:hint="default" w:ascii="Times New Roman" w:hAnsi="Times New Roman"/>
          <w:color w:val="auto"/>
          <w:sz w:val="21"/>
          <w:szCs w:val="24"/>
        </w:rPr>
        <w:t>6.</w:t>
      </w:r>
      <w:r>
        <w:rPr>
          <w:rFonts w:hint="eastAsia" w:ascii="Times New Roman" w:hAnsi="Times New Roman"/>
          <w:color w:val="auto"/>
          <w:sz w:val="21"/>
          <w:szCs w:val="24"/>
          <w:highlight w:val="none"/>
        </w:rPr>
        <w:t>2</w:t>
      </w:r>
      <w:r>
        <w:rPr>
          <w:rFonts w:hint="default" w:ascii="Times New Roman" w:hAnsi="Times New Roman"/>
          <w:color w:val="auto"/>
          <w:sz w:val="21"/>
          <w:szCs w:val="24"/>
          <w:highlight w:val="none"/>
        </w:rPr>
        <w:t>.2</w:t>
      </w:r>
      <w:r>
        <w:rPr>
          <w:rFonts w:hint="eastAsia" w:ascii="Times New Roman" w:hAnsi="Times New Roman"/>
          <w:color w:val="auto"/>
          <w:sz w:val="21"/>
          <w:szCs w:val="24"/>
          <w:highlight w:val="none"/>
        </w:rPr>
        <w:t>评审完成后，评审小组应向采购人提交书面评审报告和成交候选人名单。评审小组推荐成交候选人的人数为：3人（如不足3人，可以按实际数量推荐）。</w:t>
      </w:r>
    </w:p>
    <w:p w14:paraId="7790282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7. </w:t>
      </w:r>
      <w:r>
        <w:rPr>
          <w:rFonts w:hint="eastAsia" w:ascii="Times New Roman" w:hAnsi="Times New Roman" w:eastAsia="黑体"/>
          <w:color w:val="auto"/>
          <w:sz w:val="24"/>
          <w:szCs w:val="32"/>
        </w:rPr>
        <w:t>合同授予</w:t>
      </w:r>
    </w:p>
    <w:p w14:paraId="4392AE1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7.1</w:t>
      </w:r>
      <w:r>
        <w:rPr>
          <w:rFonts w:hint="eastAsia" w:ascii="Times New Roman" w:hAnsi="Times New Roman" w:eastAsia="黑体"/>
          <w:color w:val="auto"/>
          <w:sz w:val="24"/>
          <w:szCs w:val="32"/>
        </w:rPr>
        <w:t>成交候选人公示</w:t>
      </w:r>
    </w:p>
    <w:p w14:paraId="0CE197C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采用公开询比方式采购的项目，公示期不得少于3日。</w:t>
      </w:r>
    </w:p>
    <w:p w14:paraId="15C98FC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7.2</w:t>
      </w:r>
      <w:r>
        <w:rPr>
          <w:rFonts w:hint="eastAsia" w:ascii="Times New Roman" w:hAnsi="Times New Roman" w:eastAsia="黑体"/>
          <w:color w:val="auto"/>
          <w:sz w:val="24"/>
          <w:szCs w:val="32"/>
        </w:rPr>
        <w:t>评审结果异议</w:t>
      </w:r>
    </w:p>
    <w:p w14:paraId="071A8486">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供应商或其他利害关系人对评审结果有异议的，应在成交候选人公示期间提出。</w:t>
      </w:r>
    </w:p>
    <w:p w14:paraId="2CD6331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7.3</w:t>
      </w:r>
      <w:r>
        <w:rPr>
          <w:rFonts w:hint="eastAsia" w:ascii="Times New Roman" w:hAnsi="Times New Roman" w:eastAsia="黑体"/>
          <w:color w:val="auto"/>
          <w:sz w:val="24"/>
          <w:szCs w:val="32"/>
        </w:rPr>
        <w:t>成交候选人履约能力审查</w:t>
      </w:r>
    </w:p>
    <w:p w14:paraId="127D8B45">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成交候选人的经营、财务状况发生较大变化或存在违法行为，采购人认为可能影响其履约能力的，将在发出成交通知书前提请原评审小组按照询比文件规定的标准和方法进行审查确认。</w:t>
      </w:r>
    </w:p>
    <w:p w14:paraId="63A5E72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7.4</w:t>
      </w:r>
      <w:r>
        <w:rPr>
          <w:rFonts w:hint="eastAsia" w:ascii="Times New Roman" w:hAnsi="Times New Roman" w:eastAsia="黑体"/>
          <w:color w:val="auto"/>
          <w:sz w:val="24"/>
          <w:szCs w:val="32"/>
        </w:rPr>
        <w:t>履约保证金</w:t>
      </w:r>
    </w:p>
    <w:p w14:paraId="4E0D6E42">
      <w:pPr>
        <w:spacing w:beforeLines="0" w:afterLines="0" w:line="440" w:lineRule="exact"/>
        <w:ind w:firstLine="420" w:firstLineChars="200"/>
        <w:rPr>
          <w:rFonts w:hint="eastAsia" w:ascii="Times New Roman" w:hAnsi="Times New Roman"/>
          <w:color w:val="000000" w:themeColor="text1"/>
          <w:sz w:val="21"/>
          <w:szCs w:val="24"/>
          <w:lang w:val="en-US" w:eastAsia="zh-CN"/>
          <w14:textFill>
            <w14:solidFill>
              <w14:schemeClr w14:val="tx1"/>
            </w14:solidFill>
          </w14:textFill>
        </w:rPr>
      </w:pPr>
      <w:r>
        <w:rPr>
          <w:rFonts w:hint="default" w:ascii="Times New Roman" w:hAnsi="Times New Roman"/>
          <w:color w:val="000000" w:themeColor="text1"/>
          <w:sz w:val="21"/>
          <w:szCs w:val="24"/>
          <w14:textFill>
            <w14:solidFill>
              <w14:schemeClr w14:val="tx1"/>
            </w14:solidFill>
          </w14:textFill>
        </w:rPr>
        <w:t>7.4.1</w:t>
      </w:r>
      <w:r>
        <w:rPr>
          <w:rFonts w:hint="eastAsia" w:ascii="Times New Roman" w:hAnsi="Times New Roman"/>
          <w:color w:val="000000" w:themeColor="text1"/>
          <w:sz w:val="21"/>
          <w:szCs w:val="24"/>
          <w:lang w:val="en-US" w:eastAsia="zh-CN"/>
          <w14:textFill>
            <w14:solidFill>
              <w14:schemeClr w14:val="tx1"/>
            </w14:solidFill>
          </w14:textFill>
        </w:rPr>
        <w:t>成交候选人</w:t>
      </w:r>
      <w:r>
        <w:rPr>
          <w:rFonts w:hint="eastAsia" w:ascii="Times New Roman" w:hAnsi="Times New Roman"/>
          <w:color w:val="000000" w:themeColor="text1"/>
          <w:sz w:val="21"/>
          <w:szCs w:val="24"/>
          <w:lang w:eastAsia="zh-CN"/>
          <w14:textFill>
            <w14:solidFill>
              <w14:schemeClr w14:val="tx1"/>
            </w14:solidFill>
          </w14:textFill>
        </w:rPr>
        <w:t>公示后，</w:t>
      </w:r>
      <w:r>
        <w:rPr>
          <w:rFonts w:hint="eastAsia" w:ascii="Times New Roman" w:hAnsi="Times New Roman"/>
          <w:color w:val="000000" w:themeColor="text1"/>
          <w:sz w:val="21"/>
          <w:szCs w:val="24"/>
          <w:lang w:val="en-US" w:eastAsia="zh-CN"/>
          <w14:textFill>
            <w14:solidFill>
              <w14:schemeClr w14:val="tx1"/>
            </w14:solidFill>
          </w14:textFill>
        </w:rPr>
        <w:t>在框架协议签订前，主供应单位需向甲方支付2万元履约保证金或5万元见索即付银行保函，备选供应单位需向甲方支付具体项目合同总价2%的履约保证金或提供合同总价5%的见索即付银行保函。</w:t>
      </w:r>
    </w:p>
    <w:p w14:paraId="35491C2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 xml:space="preserve">7.4.2 </w:t>
      </w:r>
      <w:r>
        <w:rPr>
          <w:rFonts w:hint="eastAsia" w:ascii="Times New Roman" w:hAnsi="Times New Roman"/>
          <w:color w:val="auto"/>
          <w:sz w:val="21"/>
          <w:szCs w:val="24"/>
        </w:rPr>
        <w:t>成交人不能按本章第7.4</w:t>
      </w:r>
      <w:r>
        <w:rPr>
          <w:rFonts w:hint="default" w:ascii="Times New Roman" w:hAnsi="Times New Roman"/>
          <w:color w:val="auto"/>
          <w:sz w:val="21"/>
          <w:szCs w:val="24"/>
        </w:rPr>
        <w:t>.1</w:t>
      </w:r>
      <w:r>
        <w:rPr>
          <w:rFonts w:hint="eastAsia" w:ascii="Times New Roman" w:hAnsi="Times New Roman"/>
          <w:color w:val="auto"/>
          <w:sz w:val="21"/>
          <w:szCs w:val="24"/>
        </w:rPr>
        <w:t>项要求提交履约保证金的，视为放弃成交候选人，其响应保证金不予退还，给采购人造成的损失超过响应保证金数额的，成交人还应当对超过部分予以赔偿。</w:t>
      </w:r>
    </w:p>
    <w:p w14:paraId="38FDA752">
      <w:pPr>
        <w:pStyle w:val="8"/>
        <w:spacing w:beforeLines="0" w:afterLines="0" w:line="440" w:lineRule="exact"/>
        <w:ind w:firstLine="420" w:firstLineChars="200"/>
        <w:rPr>
          <w:rFonts w:hint="default"/>
          <w:color w:val="auto"/>
          <w:sz w:val="21"/>
          <w:szCs w:val="24"/>
        </w:rPr>
      </w:pPr>
      <w:r>
        <w:rPr>
          <w:rFonts w:hint="eastAsia" w:ascii="Times New Roman" w:hAnsi="Times New Roman"/>
          <w:color w:val="auto"/>
          <w:sz w:val="21"/>
          <w:szCs w:val="24"/>
        </w:rPr>
        <w:t>7.4.3履约保证金在</w:t>
      </w:r>
      <w:r>
        <w:rPr>
          <w:rFonts w:hint="eastAsia" w:ascii="宋体" w:hAnsi="宋体" w:cs="宋体"/>
          <w:color w:val="auto"/>
          <w:sz w:val="21"/>
          <w:szCs w:val="21"/>
        </w:rPr>
        <w:t>该项目物资供应整体验收完成后28天内无息退还。</w:t>
      </w:r>
    </w:p>
    <w:p w14:paraId="38AD15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7.5</w:t>
      </w:r>
      <w:r>
        <w:rPr>
          <w:rFonts w:hint="eastAsia" w:ascii="Times New Roman" w:hAnsi="Times New Roman" w:eastAsia="黑体"/>
          <w:color w:val="auto"/>
          <w:sz w:val="24"/>
          <w:szCs w:val="32"/>
        </w:rPr>
        <w:t>签订合同</w:t>
      </w:r>
    </w:p>
    <w:p w14:paraId="1018732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211821FE">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8. </w:t>
      </w:r>
      <w:r>
        <w:rPr>
          <w:rFonts w:hint="eastAsia" w:ascii="Times New Roman" w:hAnsi="Times New Roman" w:eastAsia="黑体"/>
          <w:color w:val="auto"/>
          <w:sz w:val="24"/>
          <w:szCs w:val="32"/>
        </w:rPr>
        <w:t>纪律和监督</w:t>
      </w:r>
    </w:p>
    <w:p w14:paraId="44ABCAA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8.1 对采购人的纪律要求</w:t>
      </w:r>
    </w:p>
    <w:p w14:paraId="628C3E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采购人不得泄露采购活动中应当保密的情况和资料， 不得与响应供应商串通损害国家利益、社会公共利益或者他人合法权益。</w:t>
      </w:r>
    </w:p>
    <w:p w14:paraId="53AF38F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8.2对响应供应商的纪律要求</w:t>
      </w:r>
    </w:p>
    <w:p w14:paraId="4A5019E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048344A6">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8.3 对评审小组成员的纪律要求</w:t>
      </w:r>
    </w:p>
    <w:p w14:paraId="1D0AB6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成员不得收受他人的财物或者其他好处，不得向他人透露对响应文件的评审和比较、成交候选人的推荐情况以及评审有关的其他情况。在评审活动中，评审小组成员应当客观、公正地履行职责，遵守职业道德，不得擅离职守，影响评</w:t>
      </w:r>
      <w:r>
        <w:rPr>
          <w:rFonts w:hint="eastAsia" w:ascii="Times New Roman" w:hAnsi="Times New Roman"/>
          <w:color w:val="auto"/>
          <w:sz w:val="21"/>
          <w:szCs w:val="24"/>
          <w:lang w:val="en-US" w:eastAsia="zh-CN"/>
        </w:rPr>
        <w:t>审</w:t>
      </w:r>
      <w:r>
        <w:rPr>
          <w:rFonts w:hint="eastAsia" w:ascii="Times New Roman" w:hAnsi="Times New Roman"/>
          <w:color w:val="auto"/>
          <w:sz w:val="21"/>
          <w:szCs w:val="24"/>
        </w:rPr>
        <w:t>程序正常进行，不得使用第三章“评审办法”没有规定的评审因素和标准进行评审。</w:t>
      </w:r>
    </w:p>
    <w:p w14:paraId="2F608BD3">
      <w:pPr>
        <w:keepNext/>
        <w:keepLines/>
        <w:spacing w:before="156" w:beforeLines="50" w:after="156" w:afterLines="50"/>
        <w:outlineLvl w:val="1"/>
        <w:rPr>
          <w:rFonts w:hint="default" w:ascii="Times New Roman" w:hAnsi="Times New Roman" w:eastAsia="黑体"/>
          <w:color w:val="auto"/>
          <w:sz w:val="24"/>
          <w:szCs w:val="32"/>
        </w:rPr>
      </w:pPr>
      <w:r>
        <w:rPr>
          <w:rFonts w:hint="eastAsia" w:ascii="Times New Roman" w:hAnsi="Times New Roman" w:eastAsia="黑体"/>
          <w:color w:val="auto"/>
          <w:sz w:val="24"/>
          <w:szCs w:val="32"/>
        </w:rPr>
        <w:t>9. 需要补充的其他内容</w:t>
      </w:r>
    </w:p>
    <w:p w14:paraId="4CC1AA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需要补充的其他内容：见供应商须知前附表。</w:t>
      </w:r>
    </w:p>
    <w:p w14:paraId="003BC59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br w:type="page"/>
      </w:r>
    </w:p>
    <w:p w14:paraId="69E5199E">
      <w:pPr>
        <w:pStyle w:val="2"/>
        <w:spacing w:before="312" w:after="312"/>
        <w:ind w:firstLine="0"/>
        <w:rPr>
          <w:rFonts w:hint="eastAsia" w:ascii="Times New Roman" w:hAnsi="Times New Roman" w:eastAsia="Times New Roman"/>
          <w:color w:val="auto"/>
          <w:sz w:val="36"/>
          <w:szCs w:val="44"/>
        </w:rPr>
      </w:pPr>
      <w:bookmarkStart w:id="46" w:name="_Toc16365"/>
      <w:bookmarkStart w:id="47" w:name="_Toc26736"/>
      <w:r>
        <w:rPr>
          <w:rFonts w:hint="eastAsia" w:ascii="Times New Roman" w:hAnsi="Times New Roman" w:eastAsia="宋体"/>
          <w:color w:val="auto"/>
          <w:sz w:val="36"/>
          <w:szCs w:val="44"/>
        </w:rPr>
        <w:t>评审办法</w:t>
      </w:r>
      <w:bookmarkEnd w:id="46"/>
      <w:bookmarkEnd w:id="47"/>
    </w:p>
    <w:p w14:paraId="2389A33C">
      <w:pPr>
        <w:spacing w:beforeLines="0" w:afterLines="0"/>
        <w:rPr>
          <w:rFonts w:hint="eastAsia" w:ascii="Times New Roman" w:hAnsi="Times New Roman" w:eastAsia="Times New Roman"/>
          <w:color w:val="auto"/>
          <w:sz w:val="21"/>
          <w:szCs w:val="24"/>
        </w:rPr>
        <w:sectPr>
          <w:footerReference r:id="rId4" w:type="default"/>
          <w:footnotePr>
            <w:numFmt w:val="decimalEnclosedCircleChinese"/>
            <w:numRestart w:val="eachPage"/>
          </w:footnotePr>
          <w:pgSz w:w="11906" w:h="16838"/>
          <w:pgMar w:top="1440" w:right="1797" w:bottom="1440" w:left="1797" w:header="851" w:footer="992" w:gutter="0"/>
          <w:lnNumType w:countBy="0" w:distance="360"/>
          <w:pgNumType w:fmt="decimal"/>
          <w:cols w:space="720" w:num="1"/>
          <w:docGrid w:type="linesAndChars" w:linePitch="312" w:charSpace="0"/>
        </w:sectPr>
      </w:pPr>
    </w:p>
    <w:p w14:paraId="52B51126">
      <w:pPr>
        <w:spacing w:beforeLines="0" w:after="312" w:afterLines="100" w:line="420" w:lineRule="exact"/>
        <w:jc w:val="center"/>
        <w:rPr>
          <w:rFonts w:hint="default" w:ascii="Times New Roman" w:hAnsi="Times New Roman" w:eastAsia="黑体"/>
          <w:color w:val="auto"/>
          <w:sz w:val="28"/>
          <w:szCs w:val="28"/>
          <w:highlight w:val="none"/>
        </w:rPr>
      </w:pPr>
      <w:bookmarkStart w:id="48" w:name="_Toc25343"/>
      <w:r>
        <w:rPr>
          <w:rFonts w:hint="eastAsia" w:ascii="Times New Roman" w:hAnsi="Times New Roman" w:eastAsia="黑体"/>
          <w:color w:val="auto"/>
          <w:sz w:val="28"/>
          <w:szCs w:val="28"/>
          <w:highlight w:val="none"/>
        </w:rPr>
        <w:t>评审办法前附表</w:t>
      </w:r>
      <w:r>
        <w:rPr>
          <w:rFonts w:hint="eastAsia" w:ascii="Times New Roman" w:hAnsi="Times New Roman" w:eastAsia="黑体"/>
          <w:color w:val="auto"/>
          <w:sz w:val="28"/>
          <w:szCs w:val="28"/>
          <w:highlight w:val="yellow"/>
        </w:rPr>
        <w:t>（最低价法）</w:t>
      </w:r>
    </w:p>
    <w:p w14:paraId="3ED3161A">
      <w:pPr>
        <w:keepNext/>
        <w:keepLines/>
        <w:spacing w:beforeLines="0" w:afterLines="0" w:line="400" w:lineRule="exact"/>
        <w:rPr>
          <w:rFonts w:hint="eastAsia" w:ascii="宋体" w:hAnsi="宋体" w:cs="宋体"/>
          <w:b/>
          <w:color w:val="auto"/>
          <w:kern w:val="0"/>
          <w:sz w:val="28"/>
          <w:szCs w:val="28"/>
        </w:rPr>
      </w:pPr>
      <w:bookmarkStart w:id="49" w:name="_Toc152045528"/>
      <w:bookmarkStart w:id="50" w:name="_Toc447808662"/>
      <w:bookmarkStart w:id="51" w:name="_Toc14847"/>
      <w:bookmarkStart w:id="52" w:name="_Toc457482536"/>
      <w:bookmarkStart w:id="53" w:name="_Toc144974496"/>
      <w:bookmarkStart w:id="54" w:name="_Toc3834"/>
      <w:bookmarkStart w:id="55" w:name="_Toc152042304"/>
      <w:r>
        <w:rPr>
          <w:rFonts w:hint="eastAsia" w:ascii="宋体" w:hAnsi="宋体" w:cs="宋体"/>
          <w:b/>
          <w:color w:val="auto"/>
          <w:kern w:val="0"/>
          <w:sz w:val="28"/>
          <w:szCs w:val="28"/>
        </w:rPr>
        <w:t>前附表</w:t>
      </w:r>
      <w:bookmarkEnd w:id="49"/>
      <w:bookmarkEnd w:id="50"/>
      <w:bookmarkEnd w:id="51"/>
      <w:bookmarkEnd w:id="52"/>
      <w:bookmarkEnd w:id="53"/>
      <w:bookmarkEnd w:id="54"/>
      <w:bookmarkEnd w:id="55"/>
      <w:r>
        <w:rPr>
          <w:rFonts w:hint="eastAsia" w:ascii="宋体" w:hAnsi="宋体" w:cs="宋体"/>
          <w:b/>
          <w:color w:val="auto"/>
          <w:kern w:val="0"/>
          <w:sz w:val="28"/>
          <w:szCs w:val="28"/>
        </w:rPr>
        <w:t>A</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7681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4596A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条款号</w:t>
            </w:r>
          </w:p>
        </w:tc>
        <w:tc>
          <w:tcPr>
            <w:tcW w:w="17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4CBC9B">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评审因素</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A452BA">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评审标准</w:t>
            </w:r>
          </w:p>
        </w:tc>
      </w:tr>
      <w:tr w14:paraId="3697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FAAD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default" w:ascii="Times New Roman" w:hAnsi="Times New Roman"/>
                <w:color w:val="auto"/>
                <w:kern w:val="0"/>
                <w:sz w:val="21"/>
                <w:szCs w:val="21"/>
              </w:rPr>
              <w:t>1</w:t>
            </w:r>
          </w:p>
        </w:tc>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FC8CD5">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评审方法</w:t>
            </w:r>
          </w:p>
        </w:tc>
        <w:tc>
          <w:tcPr>
            <w:tcW w:w="1774"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A78F5F">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成交候选人</w:t>
            </w:r>
          </w:p>
          <w:p w14:paraId="3B6B02D0">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排序方法</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B591FA">
            <w:pPr>
              <w:keepNext w:val="0"/>
              <w:keepLines w:val="0"/>
              <w:widowControl/>
              <w:suppressLineNumbers w:val="0"/>
              <w:adjustRightInd w:val="0"/>
              <w:snapToGrid w:val="0"/>
              <w:spacing w:before="0" w:beforeLines="0" w:beforeAutospacing="0" w:after="0" w:afterLines="0" w:afterAutospacing="0"/>
              <w:ind w:left="0" w:right="0"/>
              <w:jc w:val="left"/>
              <w:rPr>
                <w:rFonts w:hint="default"/>
                <w:color w:val="auto"/>
                <w:sz w:val="21"/>
                <w:szCs w:val="24"/>
              </w:rPr>
            </w:pPr>
            <w:r>
              <w:rPr>
                <w:rFonts w:hint="eastAsia"/>
                <w:color w:val="auto"/>
                <w:sz w:val="21"/>
                <w:szCs w:val="24"/>
                <w:lang w:val="en-US" w:eastAsia="zh-CN"/>
              </w:rPr>
              <w:t>本次拟选定报价较低的前2个品牌同时作为成交品牌，</w:t>
            </w:r>
            <w:r>
              <w:rPr>
                <w:rFonts w:hint="eastAsia"/>
                <w:color w:val="auto"/>
                <w:sz w:val="21"/>
                <w:szCs w:val="24"/>
              </w:rPr>
              <w:t>按评审价由低到高的顺序依次推荐成交候选人：</w:t>
            </w:r>
          </w:p>
          <w:p w14:paraId="5E5E18AA">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评审价相等时，评审委员会依次按照以下优先顺序推荐成交候选人：</w:t>
            </w:r>
          </w:p>
          <w:p w14:paraId="2B3A411D">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（1）响应文件提供的合格业绩数量多的响应人优先；</w:t>
            </w:r>
          </w:p>
          <w:p w14:paraId="1E0AEA34">
            <w:pPr>
              <w:keepNext w:val="0"/>
              <w:keepLines w:val="0"/>
              <w:suppressLineNumbers w:val="0"/>
              <w:spacing w:before="0" w:beforeLines="0" w:beforeAutospacing="0" w:after="0" w:afterLines="0" w:afterAutospacing="0" w:line="440" w:lineRule="exact"/>
              <w:ind w:left="0" w:right="0"/>
              <w:rPr>
                <w:rFonts w:hint="default"/>
                <w:color w:val="auto"/>
                <w:sz w:val="21"/>
                <w:szCs w:val="24"/>
              </w:rPr>
            </w:pPr>
            <w:r>
              <w:rPr>
                <w:rFonts w:hint="eastAsia" w:ascii="宋体" w:hAnsi="宋体" w:cs="宋体"/>
                <w:color w:val="auto"/>
                <w:sz w:val="21"/>
                <w:szCs w:val="21"/>
              </w:rPr>
              <w:t>（2）递交响应文件时间早的响应人优先。</w:t>
            </w:r>
          </w:p>
        </w:tc>
      </w:tr>
      <w:tr w14:paraId="5134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B3CAC0">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E869A0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评审因素</w:t>
            </w:r>
          </w:p>
        </w:tc>
        <w:tc>
          <w:tcPr>
            <w:tcW w:w="5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F9166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3D60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8E41E0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2.1.1</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554883">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形式评审标准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B545F1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供应商名称</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1CACA99">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与营业执照、资质证书（如有）一致</w:t>
            </w:r>
          </w:p>
        </w:tc>
      </w:tr>
      <w:tr w14:paraId="4EC4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4F036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EBF59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350D48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D6F1DE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符合第六章“响应文件格式”的规定，关键字迹清晰可辨</w:t>
            </w:r>
          </w:p>
        </w:tc>
      </w:tr>
      <w:tr w14:paraId="6199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2F38C1">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6B54AC">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85F9C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签名、盖章、装订</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8AB34FD">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4DC1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FBA23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2BDAD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D2CE1D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电子版响应文件</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D25B9A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放置盖章版的响应文件扫描件（PDF版本）、放置电子版报价清单（EXCEL版）</w:t>
            </w:r>
          </w:p>
        </w:tc>
      </w:tr>
      <w:tr w14:paraId="60D8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F8727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39CBC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EC57AB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9C62F9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w:t>
            </w:r>
          </w:p>
        </w:tc>
      </w:tr>
      <w:tr w14:paraId="0257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08D21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2.1.2</w:t>
            </w:r>
          </w:p>
        </w:tc>
        <w:tc>
          <w:tcPr>
            <w:tcW w:w="10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4217F7">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资格评审标准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B0EDF8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资质条件、能力、信誉</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C518ED">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679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56CFC0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2.1.3</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FC4B1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响应性评审标准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A63C5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采购内容</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EB27F7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5948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C8FB9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9DAAF8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7E1A12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交货期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95AD0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3B7E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234BE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37CE7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97341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质量要求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341539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D7D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CC998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B81F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174BF2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响应有效期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AB37489">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6B54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73D56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3D85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B24C8F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响应保证金</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96525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0AF7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66A06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E35DB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0E4922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联合体</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1C10FB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未以联合体形式报价</w:t>
            </w:r>
          </w:p>
        </w:tc>
      </w:tr>
      <w:tr w14:paraId="351D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C4321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83155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817F5E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分包</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9A54C7C">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没有分包</w:t>
            </w:r>
          </w:p>
        </w:tc>
      </w:tr>
      <w:tr w14:paraId="37AF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8D47D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948E4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27D7302">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报价</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F1D25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（1）报价未超过询比文件设定的最高限价。</w:t>
            </w:r>
          </w:p>
          <w:p w14:paraId="00E2262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（2）已标价的报价清单总报价和报价函的报价一致（四舍五入除外）。</w:t>
            </w:r>
          </w:p>
          <w:p w14:paraId="234E91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（3）报价的大写数值能确定具体数值，未出现数量级错误、报价金额单位错误。</w:t>
            </w:r>
          </w:p>
          <w:p w14:paraId="6BE3684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（4）同一供应商未递交两个以上不同的报价。</w:t>
            </w:r>
          </w:p>
          <w:p w14:paraId="2BCBF6A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（5）供应商按采购人提供的书面报价清单填写了报价，且未修改报价清单说明、数量等实质性内容。</w:t>
            </w:r>
          </w:p>
        </w:tc>
      </w:tr>
      <w:tr w14:paraId="3449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19295E">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B3116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11997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其他实质性要求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A63A8F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符合询比文件的其他实质性要求和条件。</w:t>
            </w:r>
          </w:p>
        </w:tc>
      </w:tr>
      <w:tr w14:paraId="75D9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AAB66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b/>
                <w:color w:val="auto"/>
                <w:sz w:val="21"/>
                <w:szCs w:val="21"/>
              </w:rPr>
              <w:t>响应文件不符合以上条件之一的，对该响应文件作否决其响应处理。</w:t>
            </w:r>
          </w:p>
        </w:tc>
      </w:tr>
    </w:tbl>
    <w:p w14:paraId="59632EF1">
      <w:pPr>
        <w:widowControl/>
        <w:spacing w:beforeLines="0" w:afterLines="0" w:line="360" w:lineRule="atLeast"/>
        <w:jc w:val="center"/>
        <w:rPr>
          <w:rFonts w:hint="default" w:ascii="Times New Roman" w:hAnsi="Times New Roman"/>
          <w:color w:val="auto"/>
          <w:sz w:val="21"/>
          <w:szCs w:val="24"/>
        </w:rPr>
      </w:pPr>
    </w:p>
    <w:p w14:paraId="5BEA99F3">
      <w:pPr>
        <w:keepNext/>
        <w:keepLines/>
        <w:spacing w:beforeLines="0" w:afterLines="0" w:line="400" w:lineRule="exact"/>
        <w:rPr>
          <w:rFonts w:hint="default"/>
          <w:color w:val="auto"/>
          <w:sz w:val="21"/>
          <w:szCs w:val="24"/>
        </w:rPr>
      </w:pPr>
      <w:r>
        <w:rPr>
          <w:rFonts w:hint="eastAsia" w:ascii="宋体" w:hAnsi="宋体" w:cs="宋体"/>
          <w:b/>
          <w:color w:val="auto"/>
          <w:kern w:val="0"/>
          <w:sz w:val="28"/>
          <w:szCs w:val="28"/>
        </w:rPr>
        <w:t>前附表B</w:t>
      </w:r>
    </w:p>
    <w:tbl>
      <w:tblPr>
        <w:tblStyle w:val="21"/>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383DF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ED3E257">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05ECE">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量化因素</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9E8385">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量化标准</w:t>
            </w:r>
          </w:p>
        </w:tc>
      </w:tr>
      <w:tr w14:paraId="48A42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37471">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color w:val="auto"/>
                <w:sz w:val="21"/>
                <w:szCs w:val="21"/>
              </w:rPr>
              <w:t>3.1</w:t>
            </w:r>
          </w:p>
        </w:tc>
        <w:tc>
          <w:tcPr>
            <w:tcW w:w="1605" w:type="dxa"/>
            <w:tcBorders>
              <w:top w:val="single" w:color="auto" w:sz="4" w:space="0"/>
              <w:left w:val="nil"/>
              <w:bottom w:val="single" w:color="auto" w:sz="4" w:space="0"/>
              <w:right w:val="single" w:color="auto" w:sz="4" w:space="0"/>
              <w:tl2br w:val="nil"/>
              <w:tr2bl w:val="nil"/>
            </w:tcBorders>
            <w:noWrap w:val="0"/>
            <w:vAlign w:val="center"/>
          </w:tcPr>
          <w:p w14:paraId="256F9803">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详细评审标准</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570396">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评审价计算</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C698A5">
            <w:pPr>
              <w:keepNext w:val="0"/>
              <w:keepLines w:val="0"/>
              <w:suppressLineNumbers w:val="0"/>
              <w:spacing w:before="0" w:beforeLines="0" w:beforeAutospacing="0" w:after="0" w:afterLines="0" w:afterAutospacing="0" w:line="360" w:lineRule="auto"/>
              <w:ind w:left="0" w:right="0"/>
              <w:rPr>
                <w:rFonts w:hint="default" w:ascii="Times New Roman" w:hAnsi="Times New Roman" w:eastAsia="仿宋_GB2312"/>
                <w:color w:val="auto"/>
                <w:sz w:val="32"/>
                <w:szCs w:val="32"/>
              </w:rPr>
            </w:pPr>
            <w:r>
              <w:rPr>
                <w:rFonts w:hint="eastAsia" w:ascii="Times New Roman" w:hAnsi="Times New Roman"/>
                <w:color w:val="auto"/>
                <w:kern w:val="0"/>
                <w:sz w:val="21"/>
                <w:szCs w:val="21"/>
              </w:rPr>
              <w:t>评审价＝修正后的报价</w:t>
            </w:r>
          </w:p>
        </w:tc>
      </w:tr>
      <w:tr w14:paraId="3AB40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456EABD">
            <w:pPr>
              <w:keepNext w:val="0"/>
              <w:keepLines w:val="0"/>
              <w:suppressLineNumbers w:val="0"/>
              <w:spacing w:before="0" w:beforeLines="0" w:beforeAutospacing="0" w:after="0" w:afterLines="0" w:afterAutospacing="0" w:line="360" w:lineRule="atLeast"/>
              <w:ind w:left="0" w:right="0"/>
              <w:rPr>
                <w:rFonts w:hint="default" w:ascii="Times New Roman" w:hAnsi="Times New Roman"/>
                <w:color w:val="auto"/>
                <w:sz w:val="21"/>
                <w:szCs w:val="21"/>
              </w:rPr>
            </w:pPr>
            <w:r>
              <w:rPr>
                <w:rFonts w:hint="eastAsia" w:ascii="Times New Roman" w:hAnsi="Times New Roman"/>
                <w:color w:val="auto"/>
                <w:sz w:val="21"/>
                <w:szCs w:val="21"/>
              </w:rPr>
              <w:t>需要补充的其他内容：</w:t>
            </w:r>
          </w:p>
          <w:p w14:paraId="1D16379E">
            <w:pPr>
              <w:keepNext w:val="0"/>
              <w:keepLines w:val="0"/>
              <w:suppressLineNumbers w:val="0"/>
              <w:spacing w:before="50" w:beforeLines="0" w:beforeAutospacing="0" w:after="50" w:afterLines="0" w:afterAutospacing="0" w:line="360" w:lineRule="auto"/>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一、合作单位的选择及成交原则</w:t>
            </w:r>
          </w:p>
          <w:p w14:paraId="0278F708">
            <w:pPr>
              <w:keepNext w:val="0"/>
              <w:keepLines w:val="0"/>
              <w:suppressLineNumbers w:val="0"/>
              <w:spacing w:before="50" w:beforeLines="0" w:beforeAutospacing="0" w:after="50" w:afterLines="0" w:afterAutospacing="0"/>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1、本次采购活动将采用</w:t>
            </w:r>
            <w:r>
              <w:rPr>
                <w:rFonts w:hint="eastAsia" w:ascii="宋体" w:hAnsi="宋体" w:cs="宋体"/>
                <w:b/>
                <w:color w:val="auto"/>
                <w:sz w:val="21"/>
                <w:szCs w:val="21"/>
              </w:rPr>
              <w:t>最低价法</w:t>
            </w:r>
            <w:r>
              <w:rPr>
                <w:rFonts w:hint="eastAsia" w:ascii="宋体" w:hAnsi="宋体" w:cs="宋体"/>
                <w:color w:val="auto"/>
                <w:sz w:val="21"/>
                <w:szCs w:val="21"/>
              </w:rPr>
              <w:t>进行评审。</w:t>
            </w:r>
          </w:p>
          <w:p w14:paraId="252147C1">
            <w:pPr>
              <w:keepNext w:val="0"/>
              <w:keepLines w:val="0"/>
              <w:suppressLineNumbers w:val="0"/>
              <w:spacing w:before="50" w:beforeLines="0" w:beforeAutospacing="0" w:after="50" w:afterLines="0" w:afterAutospacing="0"/>
              <w:ind w:left="0" w:right="0" w:firstLine="422" w:firstLineChars="200"/>
              <w:rPr>
                <w:rFonts w:hint="eastAsia" w:ascii="宋体" w:hAnsi="宋体" w:cs="宋体"/>
                <w:color w:val="auto"/>
                <w:sz w:val="21"/>
                <w:szCs w:val="21"/>
              </w:rPr>
            </w:pPr>
            <w:r>
              <w:rPr>
                <w:rFonts w:hint="eastAsia" w:ascii="宋体" w:hAnsi="宋体" w:cs="宋体"/>
                <w:b/>
                <w:color w:val="auto"/>
                <w:sz w:val="21"/>
                <w:szCs w:val="21"/>
              </w:rPr>
              <w:t>最低价法</w:t>
            </w:r>
            <w:r>
              <w:rPr>
                <w:rFonts w:hint="eastAsia" w:ascii="宋体" w:hAnsi="宋体" w:cs="宋体"/>
                <w:color w:val="auto"/>
                <w:sz w:val="21"/>
                <w:szCs w:val="21"/>
              </w:rPr>
              <w:t>：以价格为主要因素确定成交人，即在全部满足前附表要求（资格评审和响应性评审）前提下，根据各家报价由低到高的顺序，依次推荐三名成交候选人。</w:t>
            </w:r>
          </w:p>
          <w:p w14:paraId="342F1E1A">
            <w:pPr>
              <w:keepNext w:val="0"/>
              <w:keepLines w:val="0"/>
              <w:numPr>
                <w:ilvl w:val="0"/>
                <w:numId w:val="3"/>
              </w:numPr>
              <w:suppressLineNumbers w:val="0"/>
              <w:spacing w:before="50" w:beforeLines="0" w:beforeAutospacing="0" w:after="50" w:afterLines="0" w:afterAutospacing="0"/>
              <w:ind w:left="0" w:right="0" w:firstLine="420" w:firstLineChars="200"/>
              <w:rPr>
                <w:rFonts w:hint="default" w:ascii="Times New Roman" w:hAnsi="Times New Roman"/>
                <w:color w:val="auto"/>
                <w:sz w:val="21"/>
                <w:szCs w:val="21"/>
              </w:rPr>
            </w:pPr>
            <w:r>
              <w:rPr>
                <w:rFonts w:hint="eastAsia" w:ascii="宋体" w:hAnsi="宋体" w:cs="宋体"/>
                <w:color w:val="auto"/>
                <w:sz w:val="21"/>
                <w:szCs w:val="21"/>
              </w:rPr>
              <w:t>评审委员会应按照组合价最低原则确定成交人。</w:t>
            </w:r>
          </w:p>
          <w:p w14:paraId="1832EB65">
            <w:pPr>
              <w:keepNext w:val="0"/>
              <w:keepLines w:val="0"/>
              <w:widowControl/>
              <w:suppressLineNumbers w:val="0"/>
              <w:spacing w:before="0" w:beforeLines="0" w:beforeAutospacing="0" w:after="0" w:afterLines="0" w:afterAutospacing="0"/>
              <w:ind w:left="0" w:right="0" w:firstLine="440" w:firstLineChars="200"/>
              <w:jc w:val="left"/>
              <w:rPr>
                <w:rFonts w:hint="eastAsia" w:ascii="宋体" w:hAnsi="宋体" w:cs="宋体"/>
                <w:color w:val="auto"/>
                <w:kern w:val="0"/>
                <w:sz w:val="22"/>
                <w:szCs w:val="22"/>
              </w:rPr>
            </w:pPr>
            <w:r>
              <w:rPr>
                <w:rFonts w:hint="eastAsia" w:ascii="宋体" w:hAnsi="宋体" w:cs="宋体"/>
                <w:color w:val="auto"/>
                <w:kern w:val="0"/>
                <w:sz w:val="22"/>
                <w:szCs w:val="22"/>
                <w:lang w:bidi="ar"/>
              </w:rPr>
              <w:t>3、</w:t>
            </w:r>
            <w:r>
              <w:rPr>
                <w:rFonts w:hint="eastAsia" w:ascii="宋体" w:hAnsi="宋体" w:cs="宋体"/>
                <w:b/>
                <w:color w:val="auto"/>
                <w:kern w:val="0"/>
                <w:sz w:val="22"/>
                <w:szCs w:val="22"/>
                <w:lang w:bidi="ar"/>
              </w:rPr>
              <w:t>异常低价评审</w:t>
            </w:r>
            <w:r>
              <w:rPr>
                <w:rFonts w:hint="eastAsia" w:ascii="宋体" w:hAnsi="宋体" w:cs="宋体"/>
                <w:color w:val="auto"/>
                <w:kern w:val="0"/>
                <w:sz w:val="22"/>
                <w:szCs w:val="22"/>
                <w:lang w:bidi="ar"/>
              </w:rPr>
              <w:t xml:space="preserve">： </w:t>
            </w:r>
          </w:p>
          <w:p w14:paraId="4AE6E457">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如响应人的</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价低于</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价平均值的90%时，采购人可以在评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现场要求该响应人作出情况说明并提供相应降低工程造价的相关证明材料，参照附表1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报价</w:t>
            </w:r>
            <w:r>
              <w:rPr>
                <w:rFonts w:hint="eastAsia" w:ascii="宋体" w:hAnsi="宋体" w:cs="宋体"/>
                <w:color w:val="auto"/>
                <w:kern w:val="0"/>
                <w:sz w:val="22"/>
                <w:szCs w:val="22"/>
                <w:lang w:val="en-US" w:eastAsia="zh-CN" w:bidi="ar"/>
              </w:rPr>
              <w:t>参与该采购项目</w:t>
            </w:r>
            <w:r>
              <w:rPr>
                <w:rFonts w:hint="eastAsia" w:ascii="宋体" w:hAnsi="宋体" w:cs="宋体"/>
                <w:color w:val="auto"/>
                <w:kern w:val="0"/>
                <w:sz w:val="22"/>
                <w:szCs w:val="22"/>
                <w:lang w:bidi="ar"/>
              </w:rPr>
              <w:t xml:space="preserve">，并否决其响应。 </w:t>
            </w:r>
          </w:p>
          <w:p w14:paraId="532A76CD">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 xml:space="preserve">注： </w:t>
            </w:r>
          </w:p>
          <w:p w14:paraId="49F1B39B">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1)针对异常低价承诺书请响应人合理考虑时间，可提前准备好降低工程造价的相关证明材料，以避免错过</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时间，造成的不良后果由响应人自行承担。 </w:t>
            </w:r>
          </w:p>
          <w:p w14:paraId="0918B374">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2)以下情形不得作为</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或报价文件中提供异常低价响应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2ECF5D45">
            <w:pPr>
              <w:keepNext w:val="0"/>
              <w:keepLines w:val="0"/>
              <w:numPr>
                <w:ilvl w:val="0"/>
                <w:numId w:val="0"/>
              </w:numPr>
              <w:suppressLineNumbers w:val="0"/>
              <w:spacing w:before="0" w:beforeLines="0" w:beforeAutospacing="0" w:after="0" w:afterLines="0" w:afterAutospacing="0" w:line="340" w:lineRule="exact"/>
              <w:ind w:left="0" w:right="0" w:firstLine="440" w:firstLineChars="200"/>
              <w:rPr>
                <w:rFonts w:hint="eastAsia" w:ascii="宋体" w:hAnsi="宋体" w:cs="宋体"/>
                <w:color w:val="auto"/>
                <w:sz w:val="21"/>
                <w:szCs w:val="21"/>
              </w:rPr>
            </w:pPr>
            <w:r>
              <w:rPr>
                <w:rFonts w:hint="eastAsia" w:ascii="宋体" w:hAnsi="宋体" w:cs="宋体"/>
                <w:color w:val="auto"/>
                <w:kern w:val="0"/>
                <w:sz w:val="22"/>
                <w:szCs w:val="22"/>
                <w:lang w:bidi="ar"/>
              </w:rPr>
              <w:t>4.风险评估评审：采购人对通过评审的异常低价成交候选人合同履行能力及工程质量安全等风险进行全面评估，并作为评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结果的附件提交给采购人。响应人在响应文件中不能作出有效澄清、说明或采购人认定（按少数服从多数的原则）其存在履约及质量安全风险的，采购人应否决其</w:t>
            </w:r>
            <w:r>
              <w:rPr>
                <w:rFonts w:hint="eastAsia" w:ascii="宋体" w:hAnsi="宋体" w:cs="宋体"/>
                <w:color w:val="auto"/>
                <w:kern w:val="0"/>
                <w:sz w:val="22"/>
                <w:szCs w:val="22"/>
                <w:lang w:val="en-US" w:eastAsia="zh-CN" w:bidi="ar"/>
              </w:rPr>
              <w:t>参与本次采购活动</w:t>
            </w:r>
            <w:r>
              <w:rPr>
                <w:rFonts w:hint="eastAsia" w:ascii="宋体" w:hAnsi="宋体" w:cs="宋体"/>
                <w:color w:val="auto"/>
                <w:kern w:val="0"/>
                <w:sz w:val="22"/>
                <w:szCs w:val="22"/>
                <w:lang w:bidi="ar"/>
              </w:rPr>
              <w:t>。</w:t>
            </w:r>
          </w:p>
        </w:tc>
      </w:tr>
    </w:tbl>
    <w:p w14:paraId="55A30F1B">
      <w:pPr>
        <w:pStyle w:val="8"/>
        <w:spacing w:beforeLines="0" w:afterLines="0"/>
        <w:rPr>
          <w:rFonts w:hint="default"/>
          <w:color w:val="auto"/>
          <w:sz w:val="21"/>
          <w:szCs w:val="24"/>
        </w:rPr>
      </w:pPr>
    </w:p>
    <w:p w14:paraId="72F049B0">
      <w:pPr>
        <w:pStyle w:val="8"/>
        <w:spacing w:beforeLines="0" w:afterLines="0"/>
        <w:rPr>
          <w:rFonts w:hint="default"/>
          <w:color w:val="auto"/>
          <w:sz w:val="21"/>
          <w:szCs w:val="24"/>
        </w:rPr>
      </w:pPr>
    </w:p>
    <w:p w14:paraId="37EF3794">
      <w:pPr>
        <w:widowControl/>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AA2D2B0">
      <w:pPr>
        <w:widowControl/>
        <w:jc w:val="cente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7E5B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D7079">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A6A3212">
            <w:pPr>
              <w:pStyle w:val="8"/>
              <w:keepNext w:val="0"/>
              <w:keepLines w:val="0"/>
              <w:suppressLineNumbers w:val="0"/>
              <w:spacing w:before="0" w:beforeAutospacing="0" w:afterAutospacing="0"/>
              <w:ind w:left="0" w:right="0"/>
              <w:rPr>
                <w:rFonts w:hint="default"/>
                <w:color w:val="auto"/>
                <w:sz w:val="21"/>
                <w:szCs w:val="24"/>
              </w:rPr>
            </w:pPr>
          </w:p>
        </w:tc>
      </w:tr>
      <w:tr w14:paraId="678D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364916">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9D76EFA">
            <w:pPr>
              <w:pStyle w:val="8"/>
              <w:keepNext w:val="0"/>
              <w:keepLines w:val="0"/>
              <w:suppressLineNumbers w:val="0"/>
              <w:spacing w:before="0" w:beforeAutospacing="0" w:afterAutospacing="0"/>
              <w:ind w:left="0" w:right="0"/>
              <w:rPr>
                <w:rFonts w:hint="default"/>
                <w:color w:val="auto"/>
                <w:sz w:val="21"/>
                <w:szCs w:val="24"/>
              </w:rPr>
            </w:pPr>
          </w:p>
        </w:tc>
      </w:tr>
      <w:tr w14:paraId="2BDB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FF421A">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FC23D13">
            <w:pPr>
              <w:pStyle w:val="8"/>
              <w:keepNext w:val="0"/>
              <w:keepLines w:val="0"/>
              <w:suppressLineNumbers w:val="0"/>
              <w:spacing w:before="0" w:beforeAutospacing="0" w:afterAutospacing="0"/>
              <w:ind w:left="0" w:right="0"/>
              <w:rPr>
                <w:rFonts w:hint="default"/>
                <w:color w:val="auto"/>
                <w:sz w:val="21"/>
                <w:szCs w:val="24"/>
              </w:rPr>
            </w:pPr>
          </w:p>
        </w:tc>
      </w:tr>
      <w:tr w14:paraId="6709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4196E">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611D6D1">
            <w:pPr>
              <w:pStyle w:val="8"/>
              <w:keepNext w:val="0"/>
              <w:keepLines w:val="0"/>
              <w:suppressLineNumbers w:val="0"/>
              <w:spacing w:before="0" w:beforeAutospacing="0" w:afterAutospacing="0"/>
              <w:ind w:left="0" w:right="0"/>
              <w:rPr>
                <w:rFonts w:hint="default"/>
                <w:color w:val="auto"/>
                <w:sz w:val="21"/>
                <w:szCs w:val="24"/>
              </w:rPr>
            </w:pPr>
          </w:p>
        </w:tc>
      </w:tr>
      <w:tr w14:paraId="1FFE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58C87">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0E55E6">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1.</w:t>
            </w:r>
            <w:r>
              <w:rPr>
                <w:rFonts w:hint="eastAsia" w:ascii="宋体" w:hAnsi="宋体" w:cs="宋体"/>
                <w:color w:val="auto"/>
                <w:kern w:val="0"/>
                <w:sz w:val="22"/>
                <w:szCs w:val="22"/>
                <w:lang w:bidi="ar"/>
              </w:rPr>
              <w:t>我公司承诺本表提供的内容及相关资料均属实；</w:t>
            </w:r>
          </w:p>
          <w:p w14:paraId="648B742C">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2.</w:t>
            </w:r>
            <w:r>
              <w:rPr>
                <w:rFonts w:hint="eastAsia" w:ascii="宋体" w:hAnsi="宋体" w:cs="宋体"/>
                <w:color w:val="auto"/>
                <w:kern w:val="0"/>
                <w:sz w:val="22"/>
                <w:szCs w:val="22"/>
                <w:lang w:bidi="ar"/>
              </w:rPr>
              <w:t>我公司承诺没有采购文件约定的降低响应报价的禁止情形；</w:t>
            </w:r>
          </w:p>
          <w:p w14:paraId="36A8AEAD">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3.</w:t>
            </w:r>
            <w:r>
              <w:rPr>
                <w:rFonts w:hint="eastAsia" w:ascii="宋体" w:hAnsi="宋体" w:cs="宋体"/>
                <w:color w:val="auto"/>
                <w:kern w:val="0"/>
                <w:sz w:val="22"/>
                <w:szCs w:val="22"/>
                <w:lang w:bidi="ar"/>
              </w:rPr>
              <w:t>我公司承诺具备合同履行能力及工程质量安全控制能力。</w:t>
            </w:r>
          </w:p>
        </w:tc>
      </w:tr>
    </w:tbl>
    <w:p w14:paraId="605698F8">
      <w:pPr>
        <w:pStyle w:val="8"/>
        <w:rPr>
          <w:rFonts w:hint="default"/>
          <w:color w:val="auto"/>
          <w:sz w:val="21"/>
          <w:szCs w:val="24"/>
        </w:rPr>
      </w:pPr>
    </w:p>
    <w:p w14:paraId="6D3CEE1C">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注： </w:t>
      </w:r>
    </w:p>
    <w:p w14:paraId="3FF72336">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1.此表格后附异常低价评审的相关证明材料； </w:t>
      </w:r>
    </w:p>
    <w:p w14:paraId="6C40DAB2">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2.响应人在制作响应文件时该页可放置在报价文件-其他的资料中，或在评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委员会发询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函时作为附件提供。</w:t>
      </w:r>
    </w:p>
    <w:p w14:paraId="79394EF4">
      <w:pPr>
        <w:spacing w:beforeLines="0" w:afterLines="0"/>
        <w:jc w:val="left"/>
        <w:rPr>
          <w:rFonts w:hint="default" w:ascii="Times New Roman" w:hAnsi="Times New Roman" w:eastAsia="黑体"/>
          <w:color w:val="auto"/>
          <w:sz w:val="24"/>
          <w:szCs w:val="32"/>
        </w:rPr>
      </w:pPr>
    </w:p>
    <w:p w14:paraId="3FCC2A49">
      <w:pPr>
        <w:rPr>
          <w:rFonts w:hint="default" w:ascii="Times New Roman" w:hAnsi="Times New Roman" w:eastAsia="黑体"/>
          <w:color w:val="auto"/>
          <w:sz w:val="24"/>
          <w:szCs w:val="32"/>
        </w:rPr>
      </w:pPr>
      <w:r>
        <w:rPr>
          <w:rFonts w:hint="default" w:ascii="Times New Roman" w:hAnsi="Times New Roman" w:eastAsia="黑体"/>
          <w:color w:val="auto"/>
          <w:sz w:val="24"/>
          <w:szCs w:val="32"/>
        </w:rPr>
        <w:br w:type="page"/>
      </w:r>
    </w:p>
    <w:p w14:paraId="6DC5B8D9">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评审方法</w:t>
      </w:r>
    </w:p>
    <w:p w14:paraId="542D4768">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rPr>
        <w:t>1.1本次评审采用最低价法。评审小组对满足询比文件实质性要求的响应文件，按照评审价由低到高的顺序依次推荐成交候选人。如报价相同的，按照评审办法前附表中的规定确</w:t>
      </w:r>
      <w:r>
        <w:rPr>
          <w:rFonts w:hint="eastAsia" w:ascii="Times New Roman" w:hAnsi="Times New Roman"/>
          <w:color w:val="auto"/>
          <w:sz w:val="21"/>
          <w:szCs w:val="24"/>
          <w:highlight w:val="none"/>
        </w:rPr>
        <w:t>定成交候选人顺序。</w:t>
      </w:r>
    </w:p>
    <w:p w14:paraId="079F2630">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5A22136F">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评审标准</w:t>
      </w:r>
    </w:p>
    <w:p w14:paraId="66E6C09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初步评审标准</w:t>
      </w:r>
    </w:p>
    <w:p w14:paraId="540D612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2.1.1 </w:t>
      </w:r>
      <w:r>
        <w:rPr>
          <w:rFonts w:hint="eastAsia" w:ascii="Times New Roman" w:hAnsi="Times New Roman"/>
          <w:color w:val="auto"/>
          <w:sz w:val="21"/>
          <w:szCs w:val="24"/>
        </w:rPr>
        <w:t>形式评审标准：见评审办法前附表。</w:t>
      </w:r>
    </w:p>
    <w:p w14:paraId="0BF6866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2.1.2 </w:t>
      </w:r>
      <w:r>
        <w:rPr>
          <w:rFonts w:hint="eastAsia" w:ascii="Times New Roman" w:hAnsi="Times New Roman"/>
          <w:color w:val="auto"/>
          <w:sz w:val="21"/>
          <w:szCs w:val="24"/>
        </w:rPr>
        <w:t>资格评审标准：见评审办法前附表。</w:t>
      </w:r>
    </w:p>
    <w:p w14:paraId="5B06C1A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2.1.3 </w:t>
      </w:r>
      <w:r>
        <w:rPr>
          <w:rFonts w:hint="eastAsia" w:ascii="Times New Roman" w:hAnsi="Times New Roman"/>
          <w:color w:val="auto"/>
          <w:sz w:val="21"/>
          <w:szCs w:val="24"/>
        </w:rPr>
        <w:t>响应性评审标准：见评审办法前附表。</w:t>
      </w:r>
    </w:p>
    <w:p w14:paraId="5F6D775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评审程序</w:t>
      </w:r>
    </w:p>
    <w:p w14:paraId="167C2E9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3.1 </w:t>
      </w:r>
      <w:r>
        <w:rPr>
          <w:rFonts w:hint="eastAsia" w:ascii="Times New Roman" w:hAnsi="Times New Roman" w:eastAsia="黑体"/>
          <w:color w:val="auto"/>
          <w:sz w:val="24"/>
          <w:szCs w:val="32"/>
        </w:rPr>
        <w:t>初步评审</w:t>
      </w:r>
    </w:p>
    <w:p w14:paraId="2B2AAD71">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4491572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75D759A4">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3C0D8F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27DF69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45A85BA2">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35D2A51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4F2A7BE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514BA68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52C1837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9D0D087">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370FE1F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11DA205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1EEAA2A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46B7EAE3">
      <w:pPr>
        <w:spacing w:beforeLines="0" w:afterLines="0" w:line="440" w:lineRule="exact"/>
        <w:ind w:firstLine="420"/>
        <w:rPr>
          <w:rFonts w:hint="default"/>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33FD58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2 否决响应文件的其他情形</w:t>
      </w:r>
    </w:p>
    <w:p w14:paraId="1ACDF71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329F4C51">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响应文件的澄清</w:t>
      </w:r>
    </w:p>
    <w:p w14:paraId="2EF5B94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58DECC76">
      <w:pPr>
        <w:spacing w:beforeLines="0" w:afterLines="0" w:line="440" w:lineRule="exact"/>
        <w:ind w:firstLine="420"/>
        <w:rPr>
          <w:rFonts w:hint="default" w:ascii="Times New Roman" w:hAnsi="Times New Roman"/>
          <w:strike/>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.2 </w:t>
      </w:r>
      <w:r>
        <w:rPr>
          <w:rFonts w:hint="eastAsia" w:ascii="Times New Roman" w:hAnsi="Times New Roman"/>
          <w:color w:val="auto"/>
          <w:sz w:val="21"/>
          <w:szCs w:val="24"/>
        </w:rPr>
        <w:t>澄清不得超出响应文件的范围且不得改变响应文件的实质性内容，并构成响应文件的组成部分。</w:t>
      </w:r>
    </w:p>
    <w:p w14:paraId="7F93A4B7">
      <w:pPr>
        <w:keepNext/>
        <w:keepLines/>
        <w:spacing w:before="120" w:beforeLines="0" w:after="120" w:afterLines="0"/>
        <w:outlineLvl w:val="2"/>
        <w:rPr>
          <w:rFonts w:hint="default" w:ascii="Times New Roman" w:hAnsi="Times New Roman" w:eastAsia="黑体"/>
          <w:color w:val="auto"/>
          <w:sz w:val="24"/>
          <w:szCs w:val="32"/>
          <w:highlight w:val="none"/>
        </w:rPr>
      </w:pPr>
      <w:r>
        <w:rPr>
          <w:rFonts w:hint="default" w:ascii="Times New Roman" w:hAnsi="Times New Roman" w:eastAsia="黑体"/>
          <w:color w:val="auto"/>
          <w:sz w:val="24"/>
          <w:szCs w:val="32"/>
          <w:highlight w:val="none"/>
        </w:rPr>
        <w:t>3.</w:t>
      </w:r>
      <w:r>
        <w:rPr>
          <w:rFonts w:hint="eastAsia" w:ascii="Times New Roman" w:hAnsi="Times New Roman" w:eastAsia="黑体"/>
          <w:color w:val="auto"/>
          <w:sz w:val="24"/>
          <w:szCs w:val="32"/>
          <w:highlight w:val="none"/>
        </w:rPr>
        <w:t>4</w:t>
      </w:r>
      <w:r>
        <w:rPr>
          <w:rFonts w:hint="default" w:ascii="Times New Roman" w:hAnsi="Times New Roman" w:eastAsia="黑体"/>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0A67A40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CC8AFF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2FEC2ABC">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670ECF3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634965C6">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654BECAF">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、评审办法（最低价法）</w:t>
      </w:r>
    </w:p>
    <w:p w14:paraId="46204DA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1B68508E">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w:t>
      </w:r>
    </w:p>
    <w:p w14:paraId="3ECAE10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7471E46F">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57AC46D3">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（五）评审结果</w:t>
      </w:r>
    </w:p>
    <w:p w14:paraId="2D8F355A">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（六）推荐成交候选人</w:t>
      </w:r>
    </w:p>
    <w:p w14:paraId="04E26FC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（七）评审附表</w:t>
      </w:r>
    </w:p>
    <w:p w14:paraId="16A811D2">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color w:val="auto"/>
          <w:sz w:val="21"/>
          <w:szCs w:val="24"/>
        </w:rPr>
        <mc:AlternateContent>
          <mc:Choice Requires="wps">
            <w:drawing>
              <wp:anchor distT="0" distB="0" distL="114300" distR="114300" simplePos="0" relativeHeight="251659264"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rgbClr val="FFFFFF"/>
                        </a:solidFill>
                        <a:ln w="6350">
                          <a:noFill/>
                        </a:ln>
                      </wps:spPr>
                      <wps:txb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wps:txbx>
                      <wps:bodyPr vert="horz" wrap="square" anchor="t" anchorCtr="0" upright="1"/>
                    </wps:wsp>
                  </a:graphicData>
                </a:graphic>
              </wp:anchor>
            </w:drawing>
          </mc:Choice>
          <mc:Fallback>
            <w:pict>
              <v:shape id="文本框 10" o:spid="_x0000_s1026" o:spt="202" type="#_x0000_t202" style="position:absolute;left:0pt;margin-left:-34.75pt;margin-top:462.4pt;height:37.5pt;width:496.85pt;z-index:251659264;mso-width-relative:page;mso-height-relative:page;" fillcolor="#FFFFFF"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rgPaXWAAAA&#10;CwEAAA8AAAAAAAAAAQAgAAAAIgAAAGRycy9kb3ducmV2LnhtbFBLAQIUABQAAAAIAIdO4kAsXBdB&#10;5gEAALQDAAAOAAAAAAAAAAEAIAAAACUBAABkcnMvZTJvRG9jLnhtbFBLBQYAAAAABgAGAFkBAAB9&#10;BQAAAAA=&#10;">
                <v:fill on="t" focussize="0,0"/>
                <v:stroke on="f" weight="0.5pt"/>
                <v:imagedata o:title=""/>
                <o:lock v:ext="edit" aspectratio="f"/>
                <v:textbo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v:textbox>
              </v:shape>
            </w:pict>
          </mc:Fallback>
        </mc:AlternateContent>
      </w:r>
      <w:r>
        <w:rPr>
          <w:rFonts w:hint="eastAsia" w:ascii="Times New Roman" w:hAnsi="Times New Roman"/>
          <w:color w:val="auto"/>
          <w:sz w:val="21"/>
          <w:szCs w:val="24"/>
        </w:rPr>
        <w:t>1、</w:t>
      </w:r>
      <w:r>
        <w:rPr>
          <w:rFonts w:hint="eastAsia" w:ascii="Times New Roman" w:hAnsi="Times New Roman"/>
          <w:color w:val="auto"/>
          <w:sz w:val="21"/>
          <w:szCs w:val="24"/>
          <w:lang w:val="en-US" w:eastAsia="zh-CN"/>
        </w:rPr>
        <w:t>响应</w:t>
      </w:r>
      <w:r>
        <w:rPr>
          <w:rFonts w:hint="eastAsia" w:ascii="Times New Roman" w:hAnsi="Times New Roman"/>
          <w:color w:val="auto"/>
          <w:sz w:val="21"/>
          <w:szCs w:val="24"/>
        </w:rPr>
        <w:t>登记表</w:t>
      </w:r>
    </w:p>
    <w:p w14:paraId="4FBF4B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2、评审人员抽取记录表</w:t>
      </w:r>
    </w:p>
    <w:p w14:paraId="52446C92">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4"/>
          <w:lang w:val="en-US" w:eastAsia="zh-CN"/>
        </w:rPr>
        <w:t>报价</w:t>
      </w:r>
      <w:r>
        <w:rPr>
          <w:rFonts w:hint="eastAsia" w:ascii="Times New Roman" w:hAnsi="Times New Roman"/>
          <w:color w:val="auto"/>
          <w:sz w:val="21"/>
          <w:szCs w:val="24"/>
        </w:rPr>
        <w:t>记录表</w:t>
      </w:r>
    </w:p>
    <w:p w14:paraId="69FC7929">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4、评审专家签到表</w:t>
      </w:r>
    </w:p>
    <w:p w14:paraId="39B99A6E">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5、形式、资格、响应性评审标准表</w:t>
      </w:r>
    </w:p>
    <w:p w14:paraId="3E47CA8B">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6、询证函（如有）</w:t>
      </w:r>
    </w:p>
    <w:p w14:paraId="2FC019DA">
      <w:pPr>
        <w:rPr>
          <w:rFonts w:hint="eastAsia"/>
        </w:rPr>
      </w:pPr>
      <w:r>
        <w:rPr>
          <w:rFonts w:hint="eastAsia"/>
        </w:rPr>
        <w:br w:type="page"/>
      </w:r>
    </w:p>
    <w:p w14:paraId="03C16472">
      <w:pPr>
        <w:pStyle w:val="2"/>
        <w:numPr>
          <w:ilvl w:val="0"/>
          <w:numId w:val="0"/>
        </w:numPr>
        <w:spacing w:before="312" w:after="312"/>
        <w:jc w:val="center"/>
        <w:rPr>
          <w:rFonts w:hint="eastAsia" w:ascii="Times New Roman" w:hAnsi="Times New Roman" w:eastAsia="Times New Roman"/>
          <w:sz w:val="36"/>
          <w:szCs w:val="44"/>
          <w:highlight w:val="none"/>
        </w:rPr>
      </w:pPr>
      <w:bookmarkStart w:id="56" w:name="_Toc26287"/>
      <w:r>
        <w:rPr>
          <w:rFonts w:hint="eastAsia" w:ascii="Times New Roman" w:hAnsi="Times New Roman" w:eastAsia="宋体"/>
          <w:sz w:val="36"/>
          <w:szCs w:val="44"/>
          <w:highlight w:val="none"/>
        </w:rPr>
        <w:t>第四章 合同内容</w:t>
      </w:r>
      <w:bookmarkEnd w:id="48"/>
      <w:bookmarkEnd w:id="56"/>
    </w:p>
    <w:p w14:paraId="54FC5C5C">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CD3766E">
      <w:pPr>
        <w:spacing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年度采购框架协议</w:t>
      </w:r>
    </w:p>
    <w:p w14:paraId="35363B7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9094A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甲方:</w:t>
      </w:r>
      <w:r>
        <w:rPr>
          <w:rFonts w:hint="eastAsia" w:ascii="黑体" w:hAnsi="黑体" w:eastAsia="黑体" w:cs="黑体"/>
          <w:sz w:val="28"/>
          <w:szCs w:val="28"/>
          <w:u w:val="single"/>
        </w:rPr>
        <w:t xml:space="preserve">安徽省经工物资有限公司  </w:t>
      </w:r>
      <w:r>
        <w:rPr>
          <w:rFonts w:hint="eastAsia" w:ascii="黑体" w:hAnsi="黑体" w:eastAsia="黑体" w:cs="黑体"/>
          <w:sz w:val="28"/>
          <w:szCs w:val="28"/>
        </w:rPr>
        <w:t>（以下简称甲方）</w:t>
      </w:r>
    </w:p>
    <w:p w14:paraId="29493137">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乙方:</w:t>
      </w:r>
      <w:r>
        <w:rPr>
          <w:rFonts w:hint="eastAsia" w:ascii="黑体" w:hAnsi="黑体" w:eastAsia="黑体" w:cs="黑体"/>
          <w:sz w:val="28"/>
          <w:szCs w:val="28"/>
          <w:u w:val="single"/>
        </w:rPr>
        <w:t xml:space="preserve">                         </w:t>
      </w:r>
      <w:r>
        <w:rPr>
          <w:rFonts w:hint="eastAsia" w:ascii="黑体" w:hAnsi="黑体" w:eastAsia="黑体" w:cs="黑体"/>
          <w:sz w:val="28"/>
          <w:szCs w:val="28"/>
        </w:rPr>
        <w:t>(以下简称乙方)</w:t>
      </w:r>
    </w:p>
    <w:p w14:paraId="68DEB9C8">
      <w:pPr>
        <w:numPr>
          <w:ilvl w:val="0"/>
          <w:numId w:val="0"/>
        </w:numPr>
        <w:spacing w:line="440" w:lineRule="exact"/>
        <w:rPr>
          <w:rFonts w:hint="eastAsia" w:ascii="黑体" w:hAnsi="宋体" w:eastAsia="黑体"/>
          <w:b/>
          <w:sz w:val="28"/>
          <w:szCs w:val="28"/>
        </w:rPr>
      </w:pPr>
      <w:r>
        <w:rPr>
          <w:rFonts w:hint="eastAsia" w:ascii="黑体" w:hAnsi="宋体" w:eastAsia="黑体"/>
          <w:b/>
          <w:sz w:val="28"/>
          <w:szCs w:val="28"/>
        </w:rPr>
        <w:t xml:space="preserve">    </w:t>
      </w:r>
    </w:p>
    <w:p w14:paraId="0488AEFA">
      <w:pPr>
        <w:pStyle w:val="7"/>
        <w:numPr>
          <w:ilvl w:val="0"/>
          <w:numId w:val="4"/>
        </w:num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乙双方本着平等自愿、互惠互利、共同发展的原则，经友好协商，就双方均视对方为材料采购与供应领域重要合作伙伴达成一致意见，并签订如下合作协议：  </w:t>
      </w:r>
    </w:p>
    <w:p w14:paraId="3674194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一、合作内容</w:t>
      </w:r>
    </w:p>
    <w:p w14:paraId="22CC91A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1.合作项目范围：甲方及甲方关联公司在安徽省境内的备建/在建/承建项目或其作为采购方的项目。</w:t>
      </w:r>
    </w:p>
    <w:p w14:paraId="43FCFF0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2.指乙方承诺以年度采购价向甲方上述项目供应产品，详见附件；最终以甲、乙双方在具体项目中签订的供货合同或订货单为准。</w:t>
      </w:r>
    </w:p>
    <w:p w14:paraId="60F50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3.甲方有权以其名义或其关联公司或相关项目方的名义，与乙方或乙方指定的关联公司、授权经销商/服务商签订具体的项目供货合同，双方将结合项目的具体情况确定，并督促具体签约双方的履约行为。</w:t>
      </w:r>
    </w:p>
    <w:p w14:paraId="64F496D1">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4.合作期限：</w:t>
      </w:r>
      <w:r>
        <w:rPr>
          <w:rFonts w:hint="eastAsia" w:ascii="仿宋_GB2312" w:hAnsi="仿宋_GB2312" w:eastAsia="仿宋_GB2312" w:cs="仿宋_GB2312"/>
          <w:sz w:val="24"/>
          <w:szCs w:val="24"/>
          <w:u w:val="single"/>
        </w:rPr>
        <w:t xml:space="preserve"> 1 </w:t>
      </w:r>
      <w:r>
        <w:rPr>
          <w:rFonts w:hint="eastAsia" w:ascii="仿宋_GB2312" w:hAnsi="仿宋_GB2312" w:eastAsia="仿宋_GB2312" w:cs="仿宋_GB2312"/>
          <w:sz w:val="24"/>
          <w:szCs w:val="24"/>
        </w:rPr>
        <w:t>年，自合同签订之日起开始计算周期。合同到期前30天，由双方根据合作情况协商决定是否延期或续签协议。如双方到期后未续签的，原未履行完毕的订货单仍执行原合同条款。</w:t>
      </w:r>
    </w:p>
    <w:p w14:paraId="7FAD9340">
      <w:pPr>
        <w:pStyle w:val="7"/>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二、质量标准、交货及验收方式</w:t>
      </w:r>
    </w:p>
    <w:p w14:paraId="7830E831">
      <w:pPr>
        <w:pStyle w:val="7"/>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1.乙方应确保交付的产品质量符合本框架协议及具体项目采购合同约定的技术要求、国家标准或生产厂家生产标准，乙方提供生产厂家质保书（复印件同等有效）。</w:t>
      </w:r>
    </w:p>
    <w:p w14:paraId="7C33020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2.产品运输:产品运输、装载及到达目的地</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卸货由</w:t>
      </w:r>
      <w:r>
        <w:rPr>
          <w:rFonts w:hint="eastAsia" w:ascii="仿宋_GB2312" w:hAnsi="仿宋_GB2312" w:eastAsia="仿宋_GB2312" w:cs="仿宋_GB2312"/>
          <w:sz w:val="24"/>
          <w:szCs w:val="24"/>
          <w:lang w:val="en-US" w:eastAsia="zh-CN"/>
        </w:rPr>
        <w:t>甲</w:t>
      </w:r>
      <w:r>
        <w:rPr>
          <w:rFonts w:hint="eastAsia" w:ascii="仿宋_GB2312" w:hAnsi="仿宋_GB2312" w:eastAsia="仿宋_GB2312" w:cs="仿宋_GB2312"/>
          <w:sz w:val="24"/>
          <w:szCs w:val="24"/>
        </w:rPr>
        <w:t>方负责。</w:t>
      </w:r>
    </w:p>
    <w:p w14:paraId="5AE6F29D">
      <w:pPr>
        <w:spacing w:line="44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3.交货</w:t>
      </w:r>
      <w:r>
        <w:rPr>
          <w:rFonts w:hint="eastAsia" w:ascii="仿宋_GB2312" w:hAnsi="仿宋_GB2312" w:eastAsia="仿宋_GB2312" w:cs="仿宋_GB2312"/>
          <w:color w:val="auto"/>
          <w:sz w:val="24"/>
          <w:szCs w:val="24"/>
          <w:lang w:val="en-US" w:eastAsia="zh-CN"/>
        </w:rPr>
        <w:t>时间及</w:t>
      </w:r>
      <w:r>
        <w:rPr>
          <w:rFonts w:hint="eastAsia" w:ascii="仿宋_GB2312" w:hAnsi="仿宋_GB2312" w:eastAsia="仿宋_GB2312" w:cs="仿宋_GB2312"/>
          <w:color w:val="auto"/>
          <w:sz w:val="24"/>
          <w:szCs w:val="24"/>
        </w:rPr>
        <w:t>地点:</w:t>
      </w:r>
      <w:r>
        <w:rPr>
          <w:rFonts w:hint="eastAsia" w:ascii="仿宋_GB2312" w:hAnsi="仿宋_GB2312" w:eastAsia="仿宋_GB2312" w:cs="仿宋_GB2312"/>
          <w:color w:val="auto"/>
          <w:sz w:val="24"/>
          <w:szCs w:val="24"/>
          <w:lang w:val="en-US" w:eastAsia="zh-CN"/>
        </w:rPr>
        <w:t>接到甲方通知5天内货到现场；交货地点</w:t>
      </w:r>
      <w:r>
        <w:rPr>
          <w:rFonts w:hint="eastAsia" w:ascii="仿宋_GB2312" w:hAnsi="仿宋_GB2312" w:eastAsia="仿宋_GB2312" w:cs="仿宋_GB2312"/>
          <w:color w:val="auto"/>
          <w:sz w:val="24"/>
          <w:szCs w:val="24"/>
        </w:rPr>
        <w:t>具体</w:t>
      </w:r>
      <w:r>
        <w:rPr>
          <w:rFonts w:hint="eastAsia" w:ascii="仿宋_GB2312" w:hAnsi="仿宋_GB2312" w:eastAsia="仿宋_GB2312" w:cs="仿宋_GB2312"/>
          <w:color w:val="auto"/>
          <w:sz w:val="24"/>
          <w:szCs w:val="24"/>
          <w:lang w:val="en-US" w:eastAsia="zh-CN"/>
        </w:rPr>
        <w:t>以甲方</w:t>
      </w:r>
      <w:r>
        <w:rPr>
          <w:rFonts w:hint="eastAsia" w:ascii="仿宋_GB2312" w:hAnsi="仿宋_GB2312" w:eastAsia="仿宋_GB2312" w:cs="仿宋_GB2312"/>
          <w:color w:val="auto"/>
          <w:sz w:val="24"/>
          <w:szCs w:val="24"/>
        </w:rPr>
        <w:t>通知为准。</w:t>
      </w:r>
    </w:p>
    <w:p w14:paraId="4F3926C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验收:甲方应与乙方交货时当场对产品的型号、规格、外观、质量进行验收，交货验收仅是甲方对货物品种、外观的初步验收，不免除乙方应承担的产品质量义务及责任;对不符合质量要求的必须当场提出异议、拒收，在验收单中注明并由乙方交货代表/送货人签字证明。如型号、规格、外观、质</w:t>
      </w:r>
      <w:r>
        <w:rPr>
          <w:rFonts w:hint="eastAsia" w:ascii="仿宋_GB2312" w:hAnsi="仿宋_GB2312" w:eastAsia="仿宋_GB2312" w:cs="仿宋_GB2312"/>
          <w:sz w:val="24"/>
          <w:szCs w:val="24"/>
          <w:lang w:val="en-US" w:eastAsia="zh-CN"/>
        </w:rPr>
        <w:t>量</w:t>
      </w:r>
      <w:r>
        <w:rPr>
          <w:rFonts w:hint="eastAsia" w:ascii="仿宋_GB2312" w:hAnsi="仿宋_GB2312" w:eastAsia="仿宋_GB2312" w:cs="仿宋_GB2312"/>
          <w:sz w:val="24"/>
          <w:szCs w:val="24"/>
        </w:rPr>
        <w:t>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14:paraId="5DEDC07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乙方所供的产品，必须符合该项目的检测要求并提供相关的检测资料，检测费用由乙方承担。</w:t>
      </w:r>
    </w:p>
    <w:p w14:paraId="3A531A6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甲方有权对初步验收合格后的产品采取抽检、取样等方式检验，如有异议，经双方认可的第三方检测机构检测后仍不能满足质量技术和规格要求，甲方有权要求对该批货品按照乙方违约进行处理，因此产生的费用和给甲方造成的损失均由乙方承担。</w:t>
      </w:r>
    </w:p>
    <w:p w14:paraId="02FD67A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 验收如发生争议，可交项目所在地由国家认证的相应检测资质的检验机构对产品进行复检。</w:t>
      </w:r>
    </w:p>
    <w:p w14:paraId="4A14710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8.检测费用约定：乙方承诺委外检测费用由乙方先行承担，检测结果出来后，检测费用由责任方承担。</w:t>
      </w:r>
    </w:p>
    <w:p w14:paraId="1DEA4C7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三、双方权利义务及违约责任</w:t>
      </w:r>
    </w:p>
    <w:p w14:paraId="507366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1、甲方的权利与义务</w:t>
      </w:r>
    </w:p>
    <w:p w14:paraId="5E53EBE7">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1.1本协议不具有排他性，甲方在同等条件下优先推荐并选购乙方产品，也可另行选择其他供货单位。</w:t>
      </w:r>
    </w:p>
    <w:p w14:paraId="55C3F25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有项目需求时甲方应及时与乙方沟通产品需求，告知乙方采购产品的范围、标准、供应商选择标准及其他相关要求，尽可能保证乙方取得项目供货权。若产品交货过程中，存在项目变动，甲方有义务及时通知乙方项目变动信息。</w:t>
      </w:r>
    </w:p>
    <w:p w14:paraId="0524242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1.3甲方承诺按照合同约定支付货款，且有义务对乙方的价格体系、未公开的技术信息、各项目进展情况和商业安排等商业信息进行保密，不得向第三方泄</w:t>
      </w:r>
      <w:r>
        <w:rPr>
          <w:rFonts w:hint="eastAsia" w:ascii="仿宋_GB2312" w:hAnsi="仿宋_GB2312" w:eastAsia="仿宋_GB2312" w:cs="仿宋_GB2312"/>
          <w:sz w:val="24"/>
          <w:szCs w:val="24"/>
          <w:lang w:val="en-US" w:eastAsia="zh-CN"/>
        </w:rPr>
        <w:t>露</w:t>
      </w:r>
      <w:r>
        <w:rPr>
          <w:rFonts w:hint="eastAsia" w:ascii="仿宋_GB2312" w:hAnsi="仿宋_GB2312" w:eastAsia="仿宋_GB2312" w:cs="仿宋_GB2312"/>
          <w:sz w:val="24"/>
          <w:szCs w:val="24"/>
        </w:rPr>
        <w:t>。</w:t>
      </w:r>
    </w:p>
    <w:p w14:paraId="0F9EF98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1.4甲方有权随时对乙方提供的材料进行抽检；乙方必须对所提供的产品质量、检测报告、</w:t>
      </w: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报价中各项技术参数的可靠性、真实性负责，服从并配合甲方随时进行的产品质量技术性能抽检。如后期产品实际使用过程中发生质量、品质等问题，甲方有权退货、暂停付款且可直接终止年度合作协议。同时乙方负责在甲方指定期限内免费更换质量合格产品，如因此给甲方或第三方造成损失的，应负责据实赔偿全部费用，甲方有权保留根据本合同约定追究乙方逾期交货的违约责任。</w:t>
      </w:r>
    </w:p>
    <w:p w14:paraId="795E89E8">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甲方有义务监督乙方合同的执行情况；甲方有权依据乙方已经供货的合作情况确定乙方是否具备继续承担其他项目(或其他标段、区)供货能力，如不具备继续承担其他项目(或其他标段、区)供货的能力，则甲方有权不按本年度框架协议书相关条款要求继续授予乙方其他具体项目(或其他标段、区)采购合同，并且甲方有权优先选择其他供货单位承接乙方剩余的具体项目的供货。</w:t>
      </w:r>
    </w:p>
    <w:p w14:paraId="2CF26D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若乙方提供的产品有明显缺陷或该产品在使用过程中达不到甲方要求的，乙方负有更换的责任，若更换后仍不符合要求的，甲方有权单方面解除合同，要求退货退款，因此造成甲方其他损失的由乙方承担赔偿责任。</w:t>
      </w:r>
    </w:p>
    <w:p w14:paraId="281EA5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2、乙方权利与义务</w:t>
      </w:r>
    </w:p>
    <w:p w14:paraId="462E1E2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2.1乙方有义务保证其生产供货能力满足甲方开发项目的需要，对甲方所有的项目都必须按照本协议的规定确保供货的能力。</w:t>
      </w:r>
    </w:p>
    <w:p w14:paraId="6A167A0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2.2乙方有义务按照本协议和具体项目采购合同的要求履行合同;按合同约定时间内交货，并配合甲方验收事宜。</w:t>
      </w:r>
    </w:p>
    <w:p w14:paraId="31417F2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乙方应按照甲方下达的采购订单备货，保证在要求的时间内完成供货。如所提供的产品存在数量缺少、外观瑕疵、质量不合格等导致验收不通过情形的，乙方应当在接到通知之日起3个工作日内完成调换或补充。</w:t>
      </w:r>
    </w:p>
    <w:p w14:paraId="7430185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2.4对于甲方项目所在地地方政府部门有准用检查要求的产品，乙方保证已经通过当地政府部门的准用检查，并获得了当地颁发的准许使用证明。</w:t>
      </w:r>
    </w:p>
    <w:p w14:paraId="43FE35B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2.5乙方有义务免费派遣现场施工技术指导人员到现场进行施工前的交底，乙方所派往工程现场之人员出现人身损害或财产损害情况的，由乙方自行解决，与甲方无关。</w:t>
      </w:r>
    </w:p>
    <w:p w14:paraId="011F7572">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2.6乙方有义务接受甲方考察人员的参观考察，并为考察工作提供便利；乙方必须及时向甲方推荐新产品、新技术，并配合甲方进行设计优化。</w:t>
      </w:r>
    </w:p>
    <w:p w14:paraId="3261C86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乙方依法按照国家规定的质保期，对所供应的产品承担相应的质量保证责任，如因产品存在(非甲方或施工等人为原因导致的)质量问题给甲方或甲方用户造成损失的，乙方向甲方承担相应的更换、保修、包退责任。</w:t>
      </w:r>
    </w:p>
    <w:p w14:paraId="431105D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2.8乙方保证对所供产品具有完全的所有权，不存在任何权利瑕疵，甲方因为采购或使用产品而被第三方追诉侵权，因此产生的一切损失均由乙方承担相应赔偿责任。</w:t>
      </w:r>
    </w:p>
    <w:p w14:paraId="379D58F4">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合同签订前乙方应提供合法有效的营业执照、法定代表人身份证明、销售许可证等材料，如非法定代表人签订本合同，乙方需出示法定代表人签字及加盖公章的合法有效的授权委托书。未经甲方书面允许乙方不得将此合同项下权利义务转让他人，擅自转让无效。</w:t>
      </w:r>
    </w:p>
    <w:p w14:paraId="264616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四、费用及付款方式</w:t>
      </w:r>
    </w:p>
    <w:p w14:paraId="64C4C5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1.本合同总价:以甲方实际采购数量，据实结算。</w:t>
      </w:r>
    </w:p>
    <w:p w14:paraId="5E144A5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价款包括但不限于所有人工费、材料设备费、机械费、调试运行、技术培训、措施项目清单费用、检验试验费(含所有材料、完工后的成品等检测与试验)、管理费、保险费、规费、利润、移交前的维护和缺陷修补、相关政府部门报检费、验收费、风险费用、市场变化或政府颁布的相关文件等原因导致人工费、材料设备费等其他费用上涨的价差等合同约定工作内容的一切费用。除合同规定可调整的之外，结算时各全费用综合单价均不作调整。</w:t>
      </w:r>
    </w:p>
    <w:p w14:paraId="754C3553">
      <w:pPr>
        <w:numPr>
          <w:ilvl w:val="0"/>
          <w:numId w:val="5"/>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r>
        <w:rPr>
          <w:rFonts w:hint="eastAsia" w:ascii="仿宋_GB2312" w:hAnsi="仿宋_GB2312" w:eastAsia="仿宋_GB2312" w:cs="仿宋_GB2312"/>
          <w:sz w:val="24"/>
          <w:szCs w:val="24"/>
          <w:lang w:val="en-US" w:eastAsia="zh-CN"/>
        </w:rPr>
        <w:t>成交候选人</w:t>
      </w:r>
      <w:r>
        <w:rPr>
          <w:rFonts w:hint="eastAsia" w:ascii="仿宋_GB2312" w:hAnsi="仿宋_GB2312" w:eastAsia="仿宋_GB2312" w:cs="仿宋_GB2312"/>
          <w:sz w:val="24"/>
          <w:szCs w:val="24"/>
          <w:lang w:eastAsia="zh-CN"/>
        </w:rPr>
        <w:t>公示后，</w:t>
      </w:r>
      <w:r>
        <w:rPr>
          <w:rFonts w:hint="eastAsia" w:ascii="仿宋_GB2312" w:hAnsi="仿宋_GB2312" w:eastAsia="仿宋_GB2312" w:cs="仿宋_GB2312"/>
          <w:sz w:val="24"/>
          <w:szCs w:val="24"/>
          <w:lang w:val="en-US" w:eastAsia="zh-CN"/>
        </w:rPr>
        <w:t>在框架协议签订前，主供应单位需向甲方支付2万元履约保证金或5万元见索即付银行保函，备选供应单位需向甲方支付具体项目合同总价2%的履约保证金或提供合同总价5%的见索即付银行保函。</w:t>
      </w:r>
    </w:p>
    <w:p w14:paraId="73E931C1">
      <w:pPr>
        <w:numPr>
          <w:ilvl w:val="0"/>
          <w:numId w:val="0"/>
        </w:numPr>
        <w:wordWrap w:val="0"/>
        <w:spacing w:line="44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3.付款方式:</w:t>
      </w:r>
      <w:r>
        <w:rPr>
          <w:rFonts w:hint="eastAsia" w:ascii="仿宋_GB2312" w:hAnsi="仿宋_GB2312" w:eastAsia="仿宋_GB2312" w:cs="仿宋_GB2312"/>
          <w:color w:val="auto"/>
          <w:sz w:val="24"/>
          <w:szCs w:val="24"/>
          <w:highlight w:val="none"/>
          <w:lang w:val="en-US" w:eastAsia="zh-CN"/>
        </w:rPr>
        <w:t>货到工地经甲方指定签收人验收合格并签收，按月支付经验收合格的货物价款的70%；产品全部供货结束，经现场甲方指定验收人验收合格并办理完成结算手续后，甲方向乙方支付至结算价的97%，剩余3%作为质保金，在2年质保期结后无质量问题一次性无息支付；或在合同签订后出具银行质保金保函，产品全部供货结束，经现场甲方指定验收人验收合格并办理完成结算手续后，甲方向乙方支付至结算价的100%。</w:t>
      </w:r>
    </w:p>
    <w:p w14:paraId="5E9F7A8C">
      <w:pPr>
        <w:numPr>
          <w:ilvl w:val="0"/>
          <w:numId w:val="0"/>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4.质保期:质保期两年，若乙方在响应文件中承诺质保期更长的，质保期从其承诺质保期，质保期为交工验收合格日期起，质保期内若出现产品质量问题，则甲方有权向乙方追偿因此导致的甲方直接经济损失。</w:t>
      </w:r>
    </w:p>
    <w:p w14:paraId="2546CC04">
      <w:pPr>
        <w:numPr>
          <w:ilvl w:val="0"/>
          <w:numId w:val="0"/>
        </w:numPr>
        <w:wordWrap w:val="0"/>
        <w:spacing w:line="44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5.</w:t>
      </w:r>
      <w:r>
        <w:rPr>
          <w:rFonts w:hint="eastAsia" w:ascii="仿宋_GB2312" w:hAnsi="仿宋_GB2312" w:eastAsia="仿宋_GB2312" w:cs="仿宋_GB2312"/>
          <w:sz w:val="24"/>
          <w:szCs w:val="24"/>
          <w:highlight w:val="none"/>
          <w:lang w:val="en-US" w:eastAsia="zh-CN"/>
        </w:rPr>
        <w:t>自2025 年1月1日起计算，乙方须按累计供货金额每达800万，在甲方指定的交控建工集团任意开发或代建项目购买住宅1套、车位1个。1套住宅+1个车位预估价为80万元，购买人可为乙方或乙方指定的购买人。</w:t>
      </w:r>
    </w:p>
    <w:p w14:paraId="43DB5917">
      <w:pPr>
        <w:numPr>
          <w:ilvl w:val="0"/>
          <w:numId w:val="0"/>
        </w:numPr>
        <w:wordWrap w:val="0"/>
        <w:spacing w:line="44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6.房屋认购应在累计供货额达到每800万后的60天内完成房屋认购，如乙方未在约定时间内完成房屋认购，乙方需向甲方支付累计供货价款10%的违约金，甲方有权直接从乙方未支付的货款中直接扣除。</w:t>
      </w:r>
    </w:p>
    <w:p w14:paraId="7B7ACA61">
      <w:pPr>
        <w:numPr>
          <w:ilvl w:val="0"/>
          <w:numId w:val="0"/>
        </w:numPr>
        <w:wordWrap w:val="0"/>
        <w:spacing w:line="44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7.对于完成工抵的供应商获得下年度集采重点推荐资格；额外给予上年度合作额度10%的上浮空间；对合作供应商授予“战略合作伙伴"认证资质。</w:t>
      </w:r>
    </w:p>
    <w:p w14:paraId="196E72B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.乙方收款信息</w:t>
      </w:r>
    </w:p>
    <w:p w14:paraId="193855E0">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开户行:</w:t>
      </w:r>
      <w:r>
        <w:rPr>
          <w:rFonts w:hint="eastAsia" w:ascii="仿宋_GB2312" w:hAnsi="仿宋_GB2312" w:eastAsia="仿宋_GB2312" w:cs="仿宋_GB2312"/>
          <w:sz w:val="24"/>
          <w:szCs w:val="24"/>
          <w:u w:val="single"/>
        </w:rPr>
        <w:t xml:space="preserve">                        </w:t>
      </w:r>
    </w:p>
    <w:p w14:paraId="370187D9">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帐号:</w:t>
      </w:r>
      <w:r>
        <w:rPr>
          <w:rFonts w:hint="eastAsia" w:ascii="仿宋_GB2312" w:hAnsi="仿宋_GB2312" w:eastAsia="仿宋_GB2312" w:cs="仿宋_GB2312"/>
          <w:sz w:val="24"/>
          <w:szCs w:val="24"/>
          <w:u w:val="single"/>
        </w:rPr>
        <w:t xml:space="preserve">                          </w:t>
      </w:r>
    </w:p>
    <w:p w14:paraId="33C5ECDC">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账户名:</w:t>
      </w:r>
      <w:r>
        <w:rPr>
          <w:rFonts w:hint="eastAsia" w:ascii="仿宋_GB2312" w:hAnsi="仿宋_GB2312" w:eastAsia="仿宋_GB2312" w:cs="仿宋_GB2312"/>
          <w:sz w:val="24"/>
          <w:szCs w:val="24"/>
          <w:u w:val="single"/>
        </w:rPr>
        <w:t xml:space="preserve">                        </w:t>
      </w:r>
    </w:p>
    <w:p w14:paraId="23F291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五、违约责任</w:t>
      </w:r>
    </w:p>
    <w:p w14:paraId="0E2F9F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未按合同约定的日期供货的，应承担逾期交货的违约责任，乙方应支付甲方逾期交货部分价款每日10%的违约金，迟延交付超过7日，且乙方未提出有效整改措施的，甲方有权解除合同或将乙方未完成的合同内容直接委托第三方继续履行，由第三方履行增加的费用，甲方将直接从乙方材料款中扣除。甲方解除合同的，可要求乙方按合同总价款的20%向甲方支付违约金，乙方同时承担甲方由此支付的诉讼费、律师费等实现债权的费用。</w:t>
      </w:r>
    </w:p>
    <w:p w14:paraId="76E21CF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2.乙方未按合同约定的品牌、规格、型号、质量等要求向甲方供货的，视为违约，甲方有权拒收，且应按甲方要求更换，因此造成逾期供货的，乙方应按违约责任第1条承担违约责任。</w:t>
      </w:r>
    </w:p>
    <w:p w14:paraId="4A337DB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3.乙方在本合同期内，违反约定单方面提高合同产品价格，视为违约，乙方均应按涨价部分的10倍向甲方承担违约金。</w:t>
      </w:r>
    </w:p>
    <w:p w14:paraId="22C5F3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4.本合同签订后，乙方未按照本合同约定提出解除或终止本合同的，视为违约，乙方应向甲方承担合同额20%的违约金。</w:t>
      </w:r>
    </w:p>
    <w:p w14:paraId="425A316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供货完成后，产品使用过程中发生质量问题，乙方均负有保修或更换的责任，经乙方维修或更换后仍不能满足甲方使用的，视为乙方违约，甲方有权退货，退货后，乙方应在3日内退还甲方已付款，且均应按合同总价款的20%向甲方支付损失赔偿责任。</w:t>
      </w:r>
    </w:p>
    <w:p w14:paraId="154EE1C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对其供货范围内所提供的产品质量负有责任。如发生质量事故，造成人员伤亡或经济损失，而事故原因经查明确系产品质量所致，乙方应承担一切法律风险及赔偿责任，如导致甲方对第三方承担责任或被处罚的，乙方均应全额赔偿甲方由此遭受的损失。</w:t>
      </w:r>
    </w:p>
    <w:p w14:paraId="2B147A8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7.乙方有本合同约定的其他违约行为的，经甲方告知后仍无法到达合同要求的，甲方有权解除合同，并可要求乙方按合同总价款的20%向甲方支付的违约金。</w:t>
      </w:r>
    </w:p>
    <w:p w14:paraId="03B49C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六、通知送达</w:t>
      </w:r>
    </w:p>
    <w:p w14:paraId="0EA4435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双方约定，本合同履行中一方向另一方发出的通知应按下列地址和联系方式发出。任何一方改变下述联系信息的，应至少提前5日书面通知对方，如未接到对方的改变通知，则按下列信息发送的通知在本条下款规定的时间视为送达。</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3990"/>
        <w:gridCol w:w="2729"/>
      </w:tblGrid>
      <w:tr w14:paraId="569B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42334FCC">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30A3726A">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65E3CE8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tc>
      </w:tr>
      <w:tr w14:paraId="25E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CC8693E">
            <w:pPr>
              <w:keepNext w:val="0"/>
              <w:keepLines w:val="0"/>
              <w:suppressLineNumbers w:val="0"/>
              <w:spacing w:before="0" w:beforeAutospacing="0" w:after="0" w:afterAutospacing="0" w:line="440" w:lineRule="exact"/>
              <w:ind w:left="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13B5C6A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安徽省合肥市包河区高速时代广场C1栋1008室</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1EF9865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3B93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16905F0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7D9D22C5">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45DE74F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00D7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67CD27C6">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20FED5BB">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7B7F7D62">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13CA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946DCBF">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指定联系人</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48F4DF2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094949B1">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bl>
    <w:p w14:paraId="3CB3F39E">
      <w:pPr>
        <w:spacing w:line="440" w:lineRule="exact"/>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通知以专人手递方式送达的，以对方签收之日视为送达时间;以邮寄方式送达的，应当采用邮政特快专递(EMS)方式，对方签收时间为通知送达时间，一方无正当理由拒绝签收的或因故无法送达被退回的，不影响通知的送达效力。任何情况下，以特快专递方式发出通知后5个工作日即视为送达。以传真、电子邮件、微信或短信的形式发送通知的，已到达双方特定系统之时，视为已经送达。</w:t>
      </w:r>
    </w:p>
    <w:p w14:paraId="414D29E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七、本合同的修改、补充和解除</w:t>
      </w:r>
    </w:p>
    <w:p w14:paraId="0A8163D9">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1.本合同经双方协商一致同意，可以修改、补充、完善;对于合同的修改、补充、完善，双方应另行签订补充合同，其效力等同于本合同。补充合同内容如与本合同约定事项不一致，以补充合同约定内容为准。</w:t>
      </w:r>
    </w:p>
    <w:p w14:paraId="78434DE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2.有下列情形之一的，双方任何一方均可经书面通知对方，提前解除合同：</w:t>
      </w:r>
    </w:p>
    <w:p w14:paraId="383F3A3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（1）因不可抗力致使无法实现合同目的；</w:t>
      </w:r>
    </w:p>
    <w:p w14:paraId="34AFBFD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（2）任何一方明确表示或以自己的行为表明不履行主要义务，对方可解除合同并追究不履行一方的违约责任；</w:t>
      </w:r>
    </w:p>
    <w:p w14:paraId="7CF4FED6">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（3）任何一方延迟履行主要义务，经催后在合理期限内仍未履行，对方可解除合同并追究不履行一方的违约责任；</w:t>
      </w:r>
    </w:p>
    <w:p w14:paraId="333B6A0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（4）任何一方延迟履行合同义务或有其他违约行为，致使不能实现合同目的，对方可解除合同并追究不履行一方的违约责任。</w:t>
      </w:r>
    </w:p>
    <w:p w14:paraId="78B3CA8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3、免责条款</w:t>
      </w:r>
    </w:p>
    <w:p w14:paraId="68C84C9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因自然灾害等不可抗力原因造成的合同无法履行，且双方自身无过错，造成的延误或不能履约均可免责，但必须采取一切补救措施以减小损失并提供证明，否则应对扩大的损失进行赔偿。</w:t>
      </w:r>
    </w:p>
    <w:p w14:paraId="66A215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八、其他约定</w:t>
      </w:r>
    </w:p>
    <w:p w14:paraId="0B9D1778">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乙方均有义务对本协议内容及获取的对方商业秘密、未公开的技术信息、各项目进展情况、商业安排等商业信息进行保密，不得向合同双方以外的任何第三方泄露，甲方不得将乙方供应的货物转销或用于签约项目以外的项目，甲方因项目需求的调整需要变更订单的，应提前与乙方取得联系，如乙方未进行备货，则乙方应配合甲方的变更需求，但乙方已进行备货的，除非乙方同意，否则甲方不得变更订单。</w:t>
      </w:r>
    </w:p>
    <w:p w14:paraId="6D7FD32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2.具体项目开展合作时，另行签订书面供货合同，该等文件为本框架协议不可分割的组成部分，具体约定与本框架协议不一致的，以具体供货合同为准。</w:t>
      </w:r>
    </w:p>
    <w:p w14:paraId="021E9FB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框架协议及具体项目供货合同均不构成甲方对乙方在任何具体项目中必然获得供货权的承诺，甲方有权根据项目实际需求自主选择供货方；乙方不得以任何理由（包括但不限于主张甲方未保障其在具体项目中的供货权等）向甲方主张任何权利、索赔或追究任何责任。</w:t>
      </w:r>
    </w:p>
    <w:p w14:paraId="47B5FBE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4.因本协议引发的一切争议，双方应协商解决，协商不成的，任一方均可向甲方所在地人民法院提起诉讼解决。    </w:t>
      </w:r>
    </w:p>
    <w:p w14:paraId="1B812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5.本协议一式肆份，甲、乙方各执贰份，经双方签字盖章后生效，具有同等法律效力。</w:t>
      </w:r>
    </w:p>
    <w:p w14:paraId="29BA774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6.附件。</w:t>
      </w:r>
    </w:p>
    <w:p w14:paraId="03AE758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附件1：乙方营业执照、法人身份证复印件及有权销售货物的其他证明复印件</w:t>
      </w:r>
    </w:p>
    <w:p w14:paraId="2D62FB9A">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4A46DD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31584431">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2BBA06A7">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70C0238B">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                         乙方（盖章）： </w:t>
      </w:r>
    </w:p>
    <w:p w14:paraId="7F626484">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                             法定代表人</w:t>
      </w:r>
    </w:p>
    <w:p w14:paraId="25DC7AEE">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或授权委托人（签章）：                 或授权委托人（签章）：</w:t>
      </w:r>
    </w:p>
    <w:p w14:paraId="24DD3D1C">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日期：</w:t>
      </w:r>
    </w:p>
    <w:p w14:paraId="3151F4C5">
      <w:pPr>
        <w:rPr>
          <w:rFonts w:hint="eastAsia" w:ascii="仿宋_GB2312" w:hAnsi="仿宋_GB2312" w:eastAsia="仿宋_GB2312" w:cs="仿宋_GB2312"/>
          <w:spacing w:val="-17"/>
          <w:sz w:val="24"/>
          <w:szCs w:val="24"/>
        </w:rPr>
      </w:pPr>
      <w:r>
        <w:rPr>
          <w:rFonts w:hint="eastAsia" w:ascii="仿宋_GB2312" w:hAnsi="仿宋_GB2312" w:eastAsia="仿宋_GB2312" w:cs="仿宋_GB2312"/>
          <w:spacing w:val="-17"/>
          <w:sz w:val="24"/>
          <w:szCs w:val="24"/>
        </w:rPr>
        <w:br w:type="page"/>
      </w:r>
    </w:p>
    <w:p w14:paraId="28CA4BB7">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r>
        <w:rPr>
          <w:rFonts w:hint="eastAsia" w:ascii="仿宋_GB2312" w:hAnsi="仿宋_GB2312" w:eastAsia="仿宋_GB2312" w:cs="仿宋_GB2312"/>
          <w:spacing w:val="-17"/>
          <w:sz w:val="24"/>
          <w:szCs w:val="24"/>
        </w:rPr>
        <w:t>附件1:乙方营业执照、法人身份证复印件及有权销售货物的其他证明复印件</w:t>
      </w:r>
    </w:p>
    <w:p w14:paraId="25C24EB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71C039A8">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6256AA4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388E7BE0">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446DA806">
      <w:pPr>
        <w:spacing w:beforeLines="0" w:afterLines="0"/>
        <w:rPr>
          <w:rFonts w:hint="eastAsia"/>
          <w:sz w:val="21"/>
          <w:szCs w:val="24"/>
        </w:rPr>
      </w:pPr>
      <w:r>
        <w:rPr>
          <w:rFonts w:hint="eastAsia"/>
          <w:sz w:val="21"/>
          <w:szCs w:val="24"/>
        </w:rPr>
        <w:br w:type="page"/>
      </w:r>
    </w:p>
    <w:p w14:paraId="4531F23F">
      <w:pPr>
        <w:spacing w:beforeLines="0" w:afterLines="0"/>
        <w:rPr>
          <w:rFonts w:hint="eastAsia"/>
          <w:sz w:val="21"/>
          <w:szCs w:val="24"/>
        </w:rPr>
      </w:pPr>
    </w:p>
    <w:p w14:paraId="439422FA">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bCs/>
          <w:kern w:val="2"/>
          <w:sz w:val="44"/>
          <w:szCs w:val="44"/>
        </w:rPr>
      </w:pPr>
      <w:permStart w:id="0" w:edGrp="everyone"/>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项目</w:t>
      </w:r>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采购合同</w:t>
      </w:r>
    </w:p>
    <w:permEnd w:id="0"/>
    <w:p w14:paraId="775B492C">
      <w:pPr>
        <w:keepNext w:val="0"/>
        <w:keepLines w:val="0"/>
        <w:widowControl w:val="0"/>
        <w:suppressLineNumbers w:val="0"/>
        <w:autoSpaceDE w:val="0"/>
        <w:autoSpaceDN/>
        <w:spacing w:before="0" w:beforeAutospacing="0" w:after="0" w:afterAutospacing="0" w:line="560" w:lineRule="exact"/>
        <w:ind w:left="588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7FDB4339">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甲方（采购方）：</w:t>
      </w:r>
      <w:permStart w:id="1" w:edGrp="everyone"/>
      <w:r>
        <w:rPr>
          <w:rFonts w:hint="eastAsia" w:ascii="仿宋_GB2312" w:hAnsi="Calibri" w:eastAsia="仿宋_GB2312" w:cs="仿宋_GB2312"/>
          <w:kern w:val="2"/>
          <w:sz w:val="28"/>
          <w:szCs w:val="28"/>
          <w:u w:val="single"/>
          <w:lang w:val="en-US" w:eastAsia="zh-CN" w:bidi="ar"/>
        </w:rPr>
        <w:t xml:space="preserve"> 安徽省经工物资有限公司 </w:t>
      </w:r>
      <w:r>
        <w:rPr>
          <w:rFonts w:hint="eastAsia" w:ascii="仿宋_GB2312" w:hAnsi="Calibri" w:eastAsia="仿宋_GB2312" w:cs="仿宋_GB2312"/>
          <w:kern w:val="2"/>
          <w:sz w:val="28"/>
          <w:szCs w:val="28"/>
          <w:lang w:val="en-US" w:eastAsia="zh-CN" w:bidi="ar"/>
        </w:rPr>
        <w:t>（以</w:t>
      </w:r>
      <w:permEnd w:id="1"/>
      <w:r>
        <w:rPr>
          <w:rFonts w:hint="eastAsia" w:ascii="仿宋_GB2312" w:hAnsi="Calibri" w:eastAsia="仿宋_GB2312" w:cs="仿宋_GB2312"/>
          <w:kern w:val="2"/>
          <w:sz w:val="28"/>
          <w:szCs w:val="28"/>
          <w:lang w:val="en-US" w:eastAsia="zh-CN" w:bidi="ar"/>
        </w:rPr>
        <w:t>下简称甲方）</w:t>
      </w:r>
    </w:p>
    <w:p w14:paraId="2AF6A15C">
      <w:pPr>
        <w:keepNext w:val="0"/>
        <w:keepLines w:val="0"/>
        <w:widowControl w:val="0"/>
        <w:suppressLineNumbers w:val="0"/>
        <w:tabs>
          <w:tab w:val="left" w:pos="5370"/>
        </w:tabs>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permStart w:id="2" w:edGrp="everyone"/>
      <w:r>
        <w:rPr>
          <w:rFonts w:hint="eastAsia" w:ascii="仿宋_GB2312" w:hAnsi="Calibri" w:eastAsia="仿宋_GB2312" w:cs="仿宋_GB2312"/>
          <w:kern w:val="2"/>
          <w:sz w:val="28"/>
          <w:szCs w:val="28"/>
          <w:lang w:val="en-US" w:eastAsia="zh-CN" w:bidi="ar"/>
        </w:rPr>
        <w:t>乙方（供应方）：</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 xml:space="preserve">（以下简称乙方） </w:t>
      </w:r>
      <w:permEnd w:id="2"/>
      <w:r>
        <w:rPr>
          <w:rFonts w:hint="eastAsia" w:ascii="仿宋_GB2312" w:hAnsi="Calibri" w:eastAsia="仿宋_GB2312" w:cs="仿宋_GB2312"/>
          <w:kern w:val="2"/>
          <w:sz w:val="28"/>
          <w:szCs w:val="28"/>
          <w:lang w:val="en-US" w:eastAsia="zh-CN" w:bidi="ar"/>
        </w:rPr>
        <w:t xml:space="preserve"> </w:t>
      </w:r>
    </w:p>
    <w:p w14:paraId="53613776">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依据《中华人民共和国民法典》及有关规定，甲、乙双方经过友好协商，</w:t>
      </w:r>
      <w:permStart w:id="3" w:edGrp="everyone"/>
      <w:r>
        <w:rPr>
          <w:rFonts w:hint="eastAsia" w:ascii="仿宋_GB2312" w:hAnsi="Calibri" w:eastAsia="仿宋_GB2312" w:cs="仿宋_GB2312"/>
          <w:kern w:val="2"/>
          <w:sz w:val="28"/>
          <w:szCs w:val="28"/>
          <w:lang w:val="en-US" w:eastAsia="zh-CN" w:bidi="ar"/>
        </w:rPr>
        <w:t>现就甲方向乙方购买</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用于</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项目有关事宜，达成如下一致条款，以资双方共同遵照执行：</w:t>
      </w:r>
    </w:p>
    <w:p w14:paraId="797DED7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第一条  合同价款</w:t>
      </w:r>
    </w:p>
    <w:p w14:paraId="6A9783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color w:val="000000"/>
          <w:kern w:val="2"/>
          <w:sz w:val="28"/>
          <w:szCs w:val="28"/>
          <w:u w:val="single"/>
        </w:rPr>
      </w:pPr>
      <w:r>
        <w:rPr>
          <w:rFonts w:hint="eastAsia" w:ascii="仿宋_GB2312" w:hAnsi="Calibri" w:eastAsia="仿宋_GB2312" w:cs="仿宋_GB2312"/>
          <w:color w:val="000000"/>
          <w:kern w:val="2"/>
          <w:sz w:val="28"/>
          <w:szCs w:val="28"/>
          <w:lang w:val="en-US" w:eastAsia="zh-CN" w:bidi="ar"/>
        </w:rPr>
        <w:t>1.本合同暂定总价为（含增值税）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元）。其中，不含增值税价款为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元），增值税税率为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元）。若因国家税务政策变化导致税率调整，不含增值税价格不变，具体税金以变更后的税率计算。</w:t>
      </w:r>
    </w:p>
    <w:permEnd w:id="3"/>
    <w:p w14:paraId="476C197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具体报价清单见附件，产品为固定综合单价，已经包含税费、材料费（含辅材）、运输费、人员成本、各项实验检验费、验收费以及与货物有关的特殊要求等可能产生的所有成本和费用。在合同执行期内，产品单价不因市场波动、政策调整、人工涨跌等原因做任何形式的调整。本合同所列产品数量为暂估数量，最终以签收数量（乙方无条件补货与退货，并承担相应的运输等费用）和固定综合单价进行结算。</w:t>
      </w:r>
    </w:p>
    <w:p w14:paraId="2231356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宋体" w:hAnsi="宋体" w:eastAsia="宋体" w:cs="宋体"/>
          <w:b/>
          <w:bCs/>
          <w:kern w:val="2"/>
          <w:sz w:val="22"/>
          <w:szCs w:val="22"/>
        </w:rPr>
      </w:pPr>
      <w:r>
        <w:rPr>
          <w:rFonts w:hint="eastAsia" w:ascii="黑体" w:hAnsi="宋体" w:eastAsia="黑体" w:cs="黑体"/>
          <w:b w:val="0"/>
          <w:bCs/>
          <w:kern w:val="2"/>
          <w:sz w:val="28"/>
          <w:szCs w:val="28"/>
          <w:lang w:val="en-US" w:eastAsia="zh-CN" w:bidi="ar"/>
        </w:rPr>
        <w:t>第二条  交货方式、时间及地点</w:t>
      </w:r>
    </w:p>
    <w:p w14:paraId="1C8F540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1.交货方式：乙方负责运送至甲方指定地点。</w:t>
      </w:r>
    </w:p>
    <w:p w14:paraId="6EE2A9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2.交货地点：甲方指定地点，乙方负责运送至甲方指定现场。运输费用均包含在合同价款内，由乙方承担。货物在验收合格并交付给甲方前的毁损、灭失，损失由乙方全额承担。</w:t>
      </w:r>
    </w:p>
    <w:p w14:paraId="62CB55B7">
      <w:pPr>
        <w:keepNext w:val="0"/>
        <w:keepLines w:val="0"/>
        <w:widowControl/>
        <w:suppressLineNumbers w:val="0"/>
        <w:wordWrap w:val="0"/>
        <w:topLinePunct/>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3.交货时间：乙方须在接到甲方通知后，按甲方通知时间完成供货。通知方式包括但不限于电话、短信、邮件、传真、微信，</w:t>
      </w:r>
      <w:permStart w:id="4" w:edGrp="everyone"/>
      <w:r>
        <w:rPr>
          <w:rFonts w:hint="eastAsia" w:ascii="仿宋_GB2312" w:hAnsi="Calibri" w:eastAsia="仿宋_GB2312" w:cs="仿宋_GB2312"/>
          <w:kern w:val="2"/>
          <w:sz w:val="28"/>
          <w:szCs w:val="28"/>
          <w:lang w:val="en-US" w:eastAsia="zh-CN" w:bidi="ar"/>
        </w:rPr>
        <w:t>乙方确</w:t>
      </w:r>
    </w:p>
    <w:p w14:paraId="1DECECB5">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认其有效联系人姓名</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，电话为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，联系地址为：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4"/>
      <w:r>
        <w:rPr>
          <w:rFonts w:hint="eastAsia" w:ascii="仿宋_GB2312" w:hAnsi="Calibri" w:eastAsia="仿宋_GB2312" w:cs="仿宋_GB2312"/>
          <w:kern w:val="2"/>
          <w:sz w:val="28"/>
          <w:szCs w:val="28"/>
          <w:lang w:val="en-US" w:eastAsia="zh-CN" w:bidi="ar"/>
        </w:rPr>
        <w:t>甲方以上述任一方式发出的通知均为合法有效的通知。</w:t>
      </w:r>
    </w:p>
    <w:p w14:paraId="433A9DE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4.在运输过程中发生车辆人员毁损、伤亡等安全事故或发生对周围环境、水流、道路、树木、作物等损害事故时，由乙方承担各种赔偿费用，并由乙方与承运人、承保人办理理赔事宜。</w:t>
      </w:r>
    </w:p>
    <w:p w14:paraId="3DC70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5.乙方应在物资装车/船前24小时之内短信、微信等形式将合同号、物资名称、数量、运输工具名称、车/船号及启运日期通知甲方现场联系人。</w:t>
      </w:r>
    </w:p>
    <w:p w14:paraId="3AD97EA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第三条  验收</w:t>
      </w:r>
    </w:p>
    <w:p w14:paraId="48427F4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1.乙方按约将货物送至现场后，并经甲方签收确认。甲方指定</w:t>
      </w:r>
      <w:permStart w:id="5" w:edGrp="everyone"/>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（联系方式为：</w:t>
      </w:r>
      <w:r>
        <w:rPr>
          <w:rFonts w:hint="eastAsia" w:ascii="仿宋_GB2312" w:hAnsi="Calibri" w:eastAsia="仿宋_GB2312" w:cs="仿宋_GB2312"/>
          <w:kern w:val="2"/>
          <w:sz w:val="28"/>
          <w:szCs w:val="28"/>
          <w:u w:val="single"/>
          <w:lang w:val="en-US" w:eastAsia="zh-CN" w:bidi="ar"/>
        </w:rPr>
        <w:t xml:space="preserve">           </w:t>
      </w:r>
      <w:permEnd w:id="5"/>
      <w:r>
        <w:rPr>
          <w:rFonts w:hint="eastAsia" w:ascii="仿宋_GB2312" w:hAnsi="Calibri" w:eastAsia="仿宋_GB2312" w:cs="仿宋_GB2312"/>
          <w:kern w:val="2"/>
          <w:sz w:val="28"/>
          <w:szCs w:val="28"/>
          <w:lang w:val="en-US" w:eastAsia="zh-CN" w:bidi="ar"/>
        </w:rPr>
        <w:t>）为货物签收确认人。如果现场签收人员发生变更，甲方会通知乙方重新指定。</w:t>
      </w:r>
    </w:p>
    <w:p w14:paraId="61003AF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将货物送至甲方指定地点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559278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3.在乙方将货物送至现场后，甲方有权在现场车上或货物堆放在指定地点后按物品的特性及行业惯例进行验收。如甲方认为乙方送货的数量与送货单记载数量不符的，则可以随时抽检。</w:t>
      </w:r>
    </w:p>
    <w:p w14:paraId="1821A69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kern w:val="2"/>
          <w:sz w:val="28"/>
          <w:szCs w:val="28"/>
          <w:lang w:val="en-US" w:eastAsia="zh-CN" w:bidi="ar"/>
        </w:rPr>
        <w:t xml:space="preserve"> 4.如品</w:t>
      </w:r>
      <w:r>
        <w:rPr>
          <w:rFonts w:hint="eastAsia" w:ascii="仿宋_GB2312" w:hAnsi="Calibri" w:eastAsia="仿宋_GB2312" w:cs="仿宋_GB2312"/>
          <w:b w:val="0"/>
          <w:bCs w:val="0"/>
          <w:kern w:val="2"/>
          <w:sz w:val="28"/>
          <w:szCs w:val="28"/>
          <w:lang w:val="en-US" w:eastAsia="zh-CN" w:bidi="ar"/>
        </w:rPr>
        <w:t>种、型号、规格、数量不符合规定或合同约定的，甲方在验收完毕后的5日内向乙方提出异议和处理意见。对货物质量的异议不受时间限制，随时发现可以随时提出异议。乙方在收到甲方异议后，应在5日内负责处理；如果乙方逾期不予处理或收到异议通知后置之不理的，视为同意甲方提出的异议和处理意见，甲方有权将收到的货物自行处理，因此发生的费用和损失由乙方承担。</w:t>
      </w:r>
    </w:p>
    <w:p w14:paraId="1769FDA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5.乙方所供的产品，必须符合该项目的检测要求并提供相关的检测资料，检测费用由乙方承担。</w:t>
      </w:r>
    </w:p>
    <w:p w14:paraId="30DE71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6.甲方有权对初步验收合格后的产品采取抽检、取样等方式交检验机构检验，任何被检验的货物如不能满足质量技术和规格要求，甲方有权要求对该批货品按照乙方违约进行处理，因此产生的费用和给甲方造成的损失均由乙方承担。</w:t>
      </w:r>
    </w:p>
    <w:p w14:paraId="2963ED3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7.验收如发生争议，可交由项目所在地具由国家认证的相应检测资质的检验机构对产品进行复检。检测费用约定：乙方承诺委外检测费用由乙方先行承担，检测结果出来后，检测费用由责任方承担。</w:t>
      </w:r>
    </w:p>
    <w:p w14:paraId="1191CD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 xml:space="preserve">8.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72A79AE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第四条 产品质量和包装</w:t>
      </w:r>
    </w:p>
    <w:p w14:paraId="79C3786A">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w:t>
      </w:r>
      <w:r>
        <w:rPr>
          <w:rFonts w:hint="eastAsia" w:ascii="仿宋_GB2312" w:hAnsi="Calibri" w:eastAsia="仿宋_GB2312" w:cs="仿宋_GB2312"/>
          <w:b w:val="0"/>
          <w:bCs w:val="0"/>
          <w:kern w:val="2"/>
          <w:sz w:val="28"/>
          <w:szCs w:val="28"/>
          <w:lang w:val="en-US" w:eastAsia="zh-CN" w:bidi="ar"/>
        </w:rPr>
        <w:t>本合同约定货物的质保期为2年，自最后一批次供货验收合格之日起计算</w:t>
      </w:r>
      <w:r>
        <w:rPr>
          <w:rFonts w:hint="eastAsia" w:ascii="仿宋_GB2312" w:hAnsi="Calibri" w:eastAsia="仿宋_GB2312" w:cs="仿宋_GB2312"/>
          <w:kern w:val="2"/>
          <w:sz w:val="28"/>
          <w:szCs w:val="28"/>
          <w:lang w:val="en-US" w:eastAsia="zh-CN" w:bidi="ar"/>
        </w:rPr>
        <w:t>，若乙方在响应文件中承诺质保期更长的，</w:t>
      </w:r>
      <w:r>
        <w:rPr>
          <w:rFonts w:hint="eastAsia" w:ascii="仿宋_GB2312" w:hAnsi="Calibri" w:eastAsia="仿宋_GB2312" w:cs="仿宋_GB2312"/>
          <w:b w:val="0"/>
          <w:bCs w:val="0"/>
          <w:kern w:val="2"/>
          <w:sz w:val="28"/>
          <w:szCs w:val="28"/>
          <w:lang w:val="en-US" w:eastAsia="zh-CN" w:bidi="ar"/>
        </w:rPr>
        <w:t>双方同意以期限较长的为准</w:t>
      </w:r>
      <w:r>
        <w:rPr>
          <w:rFonts w:hint="eastAsia" w:ascii="仿宋_GB2312" w:hAnsi="Calibri" w:eastAsia="仿宋_GB2312" w:cs="仿宋_GB2312"/>
          <w:kern w:val="2"/>
          <w:sz w:val="28"/>
          <w:szCs w:val="28"/>
          <w:lang w:val="en-US" w:eastAsia="zh-CN" w:bidi="ar"/>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1E80B09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w:t>
      </w:r>
      <w:r>
        <w:rPr>
          <w:rFonts w:hint="eastAsia" w:ascii="仿宋_GB2312" w:hAnsi="Calibri" w:eastAsia="仿宋_GB2312" w:cs="仿宋_GB2312"/>
          <w:b w:val="0"/>
          <w:bCs w:val="0"/>
          <w:kern w:val="2"/>
          <w:sz w:val="28"/>
          <w:szCs w:val="28"/>
          <w:lang w:val="en-US" w:eastAsia="zh-CN" w:bidi="ar"/>
        </w:rPr>
        <w:t>在质保期内，因货物使用过程中出现任何问题影响到甲方正常使用的，乙方须在收到甲方通知后</w:t>
      </w:r>
      <w:r>
        <w:rPr>
          <w:rFonts w:hint="eastAsia" w:ascii="仿宋_GB2312" w:hAnsi="Calibri" w:eastAsia="仿宋_GB2312" w:cs="仿宋_GB2312"/>
          <w:b w:val="0"/>
          <w:bCs w:val="0"/>
          <w:kern w:val="2"/>
          <w:sz w:val="28"/>
          <w:szCs w:val="28"/>
          <w:u w:val="single"/>
          <w:lang w:val="en-US" w:eastAsia="zh-CN" w:bidi="ar"/>
        </w:rPr>
        <w:t xml:space="preserve"> 3 </w:t>
      </w:r>
      <w:r>
        <w:rPr>
          <w:rFonts w:hint="eastAsia" w:ascii="仿宋_GB2312" w:hAnsi="Calibri" w:eastAsia="仿宋_GB2312" w:cs="仿宋_GB2312"/>
          <w:b w:val="0"/>
          <w:bCs w:val="0"/>
          <w:kern w:val="2"/>
          <w:sz w:val="28"/>
          <w:szCs w:val="28"/>
          <w:lang w:val="en-US" w:eastAsia="zh-CN" w:bidi="ar"/>
        </w:rPr>
        <w:t>日内进行维修或更换，因此产生的费用由乙方承担。</w:t>
      </w:r>
      <w:r>
        <w:rPr>
          <w:rFonts w:hint="eastAsia" w:ascii="仿宋_GB2312" w:hAnsi="Calibri" w:eastAsia="仿宋_GB2312" w:cs="仿宋_GB2312"/>
          <w:kern w:val="2"/>
          <w:sz w:val="28"/>
          <w:szCs w:val="28"/>
          <w:lang w:val="en-US" w:eastAsia="zh-CN" w:bidi="ar"/>
        </w:rPr>
        <w:t>质保期满后，若有零部件或货物出现故障，经鉴定属于寿命异常问题（明显短于该零部件或货物正常寿命）时，则由乙方负责免费更换维修。质保期满后，乙方以优惠价格向甲方提供所需的零配件或货物。</w:t>
      </w:r>
    </w:p>
    <w:p w14:paraId="630E93C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3.乙方必须提供合同标的中所有产品的合格证、产品说明书、检测报告、第三方检测报告（如有）、随机附件、工具（如有），货到现场后交给现场的收货人员。</w:t>
      </w:r>
    </w:p>
    <w:p w14:paraId="70AEA69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4.合同标的中若有进口产品，则乙方必须提供报关单、原产地证明、单机产品序列号、原生产厂商质量保证书、等证明材料。</w:t>
      </w:r>
    </w:p>
    <w:p w14:paraId="4927EB0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5.产品包装应符合国家标准。乙方应承担由于其包装或其防护措施不妥而引起货物锈蚀、损坏和丢失等任何损失的责任或费用。空包装物及包装箱乙方承诺不再回收，均无偿归甲方所有。</w:t>
      </w:r>
    </w:p>
    <w:p w14:paraId="40C384B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hAnsi="仿宋_GB2312" w:eastAsia="黑体" w:cs="仿宋_GB2312"/>
          <w:kern w:val="2"/>
          <w:sz w:val="28"/>
          <w:szCs w:val="28"/>
        </w:rPr>
      </w:pPr>
      <w:r>
        <w:rPr>
          <w:rFonts w:hint="eastAsia" w:ascii="黑体" w:hAnsi="宋体" w:eastAsia="黑体" w:cs="黑体"/>
          <w:b w:val="0"/>
          <w:bCs/>
          <w:kern w:val="2"/>
          <w:sz w:val="28"/>
          <w:szCs w:val="28"/>
          <w:lang w:val="en-US" w:eastAsia="zh-CN" w:bidi="ar"/>
        </w:rPr>
        <w:t>第五条  结算方式及期限</w:t>
      </w:r>
    </w:p>
    <w:p w14:paraId="12D3875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default"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1.货到工地经甲方指定签收人验收合格并签收，按月支付经验收合格的货物价款的70%；产品全部供货结束，经现场甲方指定验收人验收合格并办理完成结算手续后，甲方向乙方支付至结算价的97%，剩余3%作为质保金，在2年质保期结后无质量问题一次性无息支付；或在合同签订后出具银行质保金保函，产品全部供货结束，经现场甲方指定验收人验收合格并办理完成结算手续后，甲方向乙方支付至结算价的100%。</w:t>
      </w:r>
    </w:p>
    <w:p w14:paraId="5B39D6B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0265677D">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3.成交候选人公示后，在框架协议签订前，主供应单位需向甲方支付2万元履约保证金或5万元见索即付银行保函，备选供应单位需向甲方支付具体项目合同总价2%的履约保证金或提供合同总价5%的见索即付银行保函。</w:t>
      </w:r>
    </w:p>
    <w:p w14:paraId="6D83ECA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4.乙方应当向甲方提供符合甲方财务要求的国家税务局13%增值税专用发票，发票需要做到“三流一致”，即“货物、劳务及应税服务流”、“资金流”、“发票流”必须都是同一受票方。</w:t>
      </w:r>
    </w:p>
    <w:p w14:paraId="41BDD55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5.双方特别约定：遵循“先开票、后付款”的原则，甲方付款前，乙方应按双方确认的应付金额向甲方提供增值税专用发票，并于发票开具后</w:t>
      </w:r>
      <w:r>
        <w:rPr>
          <w:rFonts w:hint="eastAsia" w:ascii="仿宋_GB2312" w:hAnsi="Calibri" w:eastAsia="仿宋_GB2312" w:cs="仿宋_GB2312"/>
          <w:kern w:val="2"/>
          <w:sz w:val="28"/>
          <w:szCs w:val="28"/>
          <w:u w:val="single"/>
          <w:lang w:val="en-US" w:eastAsia="zh-CN" w:bidi="ar"/>
        </w:rPr>
        <w:t xml:space="preserve">  7  </w:t>
      </w:r>
      <w:r>
        <w:rPr>
          <w:rFonts w:hint="eastAsia" w:ascii="仿宋_GB2312" w:hAnsi="Calibri" w:eastAsia="仿宋_GB2312" w:cs="仿宋_GB2312"/>
          <w:kern w:val="2"/>
          <w:sz w:val="28"/>
          <w:szCs w:val="28"/>
          <w:lang w:val="en-US" w:eastAsia="zh-CN" w:bidi="ar"/>
        </w:rPr>
        <w:t>日内提交给甲方。甲方收到乙方发票后，按合同约定向乙方付款，否则甲方有权迟延付款。</w:t>
      </w:r>
    </w:p>
    <w:p w14:paraId="006FD9E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6.如甲方出现资金困难，乙方同意给予</w:t>
      </w:r>
      <w:r>
        <w:rPr>
          <w:rFonts w:hint="eastAsia" w:ascii="仿宋_GB2312" w:hAnsi="Calibri" w:eastAsia="仿宋_GB2312" w:cs="仿宋_GB2312"/>
          <w:kern w:val="2"/>
          <w:sz w:val="28"/>
          <w:szCs w:val="28"/>
          <w:u w:val="single"/>
          <w:lang w:val="en-US" w:eastAsia="zh-CN" w:bidi="ar"/>
        </w:rPr>
        <w:t xml:space="preserve">  1  </w:t>
      </w:r>
      <w:r>
        <w:rPr>
          <w:rFonts w:hint="eastAsia" w:ascii="仿宋_GB2312" w:hAnsi="Calibri" w:eastAsia="仿宋_GB2312" w:cs="仿宋_GB2312"/>
          <w:kern w:val="2"/>
          <w:sz w:val="28"/>
          <w:szCs w:val="28"/>
          <w:lang w:val="en-US" w:eastAsia="zh-CN" w:bidi="ar"/>
        </w:rPr>
        <w:t>个月的付款宽限期，在此宽限期间内不视为甲方违约且不计息，乙方不得以此为由中断本项目的货物供应。</w:t>
      </w:r>
    </w:p>
    <w:p w14:paraId="15F892A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第六条  违约责任</w:t>
      </w:r>
    </w:p>
    <w:p w14:paraId="783FED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5C80144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2.乙方不能随车提供质保书等其他单证的，甲方有权拒绝收货，乙方应承担退货等责任和费用，并向甲方支付未提供单证的货款金额的10%的违约金，并承担由此给甲方造成的全部损失。</w:t>
      </w:r>
    </w:p>
    <w:p w14:paraId="6A2A65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应按约定时间交付符合本合同约定的货物，若逾期履行，每逾期一日，乙方应按照逾期交货金额的20%向甲方支付逾期交货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15DC563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660A452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5.乙方不得擅自停止供货，否则甲方有权重新选择其它供应商，同时乙方承担本合同第一条中含增值税总价30%的违约金，并赔偿给甲方造成的一切损失。</w:t>
      </w:r>
    </w:p>
    <w:p w14:paraId="058F89E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6.乙方应按合同约定及时向甲方提供增值税专用发票，逾期提供的，每逾期一天，乙方应向甲方支付违约金</w:t>
      </w:r>
      <w:r>
        <w:rPr>
          <w:rFonts w:hint="eastAsia" w:ascii="仿宋_GB2312" w:hAnsi="Calibri" w:eastAsia="仿宋_GB2312" w:cs="仿宋_GB2312"/>
          <w:kern w:val="2"/>
          <w:sz w:val="28"/>
          <w:szCs w:val="28"/>
          <w:u w:val="single"/>
          <w:lang w:val="en-US" w:eastAsia="zh-CN" w:bidi="ar"/>
        </w:rPr>
        <w:t xml:space="preserve">  1000  </w:t>
      </w:r>
      <w:r>
        <w:rPr>
          <w:rFonts w:hint="eastAsia" w:ascii="仿宋_GB2312" w:hAnsi="Calibri" w:eastAsia="仿宋_GB2312" w:cs="仿宋_GB2312"/>
          <w:kern w:val="2"/>
          <w:sz w:val="28"/>
          <w:szCs w:val="28"/>
          <w:lang w:val="en-US" w:eastAsia="zh-CN" w:bidi="ar"/>
        </w:rPr>
        <w:t>元。因乙方开具的增值税专用发票造成甲方无法及时认证、抵扣税款等情形的，乙方需向甲方承担赔偿责任包括但不限于税款、滞纳金、罚款及相关损失等。</w:t>
      </w:r>
    </w:p>
    <w:p w14:paraId="764A5A4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7.为了保障物资供应，甲方有权向任意第三方采购本合同约定的货物，乙方对此明知且认可，乙方不得以此要求甲方承担任何违约责任。</w:t>
      </w:r>
    </w:p>
    <w:p w14:paraId="6488B7F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8.乙方违反本合同义务，致使甲方通过法律途径向乙方主张权利的，乙方除应承担相应赔偿及费用外，还应承担甲方为此而支出的律师费、诉讼费等。</w:t>
      </w:r>
    </w:p>
    <w:p w14:paraId="688A496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9.对于乙方因违反本合同约定需支付的违约金，甲方有权在应付货款中直接予以扣除。</w:t>
      </w:r>
    </w:p>
    <w:p w14:paraId="186CD2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10.禁止转包分包</w:t>
      </w:r>
    </w:p>
    <w:p w14:paraId="0747C51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鉴于保护合同双方权益及确保工程质量和进度，双方明确以下转包分包相关事项:</w:t>
      </w:r>
    </w:p>
    <w:p w14:paraId="24518F7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（1）乙方不得将本合同项下的任何部分工程转包或分包给任何第三方。如有特殊情况，必须经甲方书面同意。</w:t>
      </w:r>
    </w:p>
    <w:p w14:paraId="342FC8B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（2）若乙方未经甲方同意擅自转包或分包 ,甲方有权立即终止本合同并要求乙方承担由此造成的一切损失。</w:t>
      </w:r>
    </w:p>
    <w:p w14:paraId="0276258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（3）乙方与任何第三方签订的与本合同相关的协议或承诺书 ,对甲方不具有法律约束力，除非得到甲方的书面确认。</w:t>
      </w:r>
    </w:p>
    <w:p w14:paraId="68A70E2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（4）甲方有权对乙方的工程实施情况进行监督 ,乙方应配合并提供必要的便利条件。如发现乙方存在违法转包分包行为，甲方有权采取法律手段维护自身权益。</w:t>
      </w:r>
    </w:p>
    <w:p w14:paraId="28AE112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第七条  其他约定</w:t>
      </w:r>
    </w:p>
    <w:p w14:paraId="69042EF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1.乙方送货车辆到甲方现场后，在行驶过程中，乙方驾驶人员应自行察看周围地形，乙方车辆在甲方现场若出现事故产生损失或造成对第三人侵权等其他情形，一切损失和责任均由乙方自行承担。</w:t>
      </w:r>
    </w:p>
    <w:p w14:paraId="04F836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2.乙方必须服从甲方指定项目部的全面协调管理工作，乙方严格遵守执行安全操作规范、防火规定、工艺规范等规范规定以及质量标准。</w:t>
      </w:r>
    </w:p>
    <w:p w14:paraId="706C266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3.乙方要保证项目的供货进度，不得拖延，如因乙方造成工期拖延，乙方将承担给甲方造成的一切损失。乙方应保证甲方项目施工现场整洁，做好成品保护及甲方财产保护工作。</w:t>
      </w:r>
    </w:p>
    <w:p w14:paraId="61FF576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7D3F4A3D">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5.本合同中所涉及的债权，乙方不得转让，也不得用于任何形式的担保。若乙方擅自转让或用于担保的，则该行为无效，乙方应赔偿甲方因此受到的全部损失。</w:t>
      </w:r>
    </w:p>
    <w:p w14:paraId="127C589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第八条  争议解决方式</w:t>
      </w:r>
    </w:p>
    <w:p w14:paraId="5358898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在履行合同期间发生纠纷，先由双方协商解决，协商不成，双方约定向甲方所在地人民法院提起诉讼。</w:t>
      </w:r>
    </w:p>
    <w:p w14:paraId="3A1F3DD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kern w:val="2"/>
          <w:sz w:val="28"/>
          <w:szCs w:val="28"/>
          <w:lang w:val="en-US" w:eastAsia="zh-CN" w:bidi="ar"/>
        </w:rPr>
        <w:t>第</w:t>
      </w:r>
      <w:r>
        <w:rPr>
          <w:rFonts w:hint="eastAsia" w:ascii="黑体" w:hAnsi="宋体" w:eastAsia="黑体" w:cs="黑体"/>
          <w:b w:val="0"/>
          <w:bCs/>
          <w:kern w:val="2"/>
          <w:sz w:val="28"/>
          <w:szCs w:val="28"/>
          <w:lang w:val="en-US" w:eastAsia="zh-CN" w:bidi="ar"/>
        </w:rPr>
        <w:t>九条</w:t>
      </w:r>
    </w:p>
    <w:p w14:paraId="586D2F8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1.本合同未尽事宜，由双方另行协商解决并签订补充协议。</w:t>
      </w:r>
    </w:p>
    <w:p w14:paraId="0FB7396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2.本合同自甲乙双方签字或盖章之日起生效。</w:t>
      </w:r>
    </w:p>
    <w:p w14:paraId="348C268B">
      <w:pPr>
        <w:pStyle w:val="17"/>
        <w:keepNext w:val="0"/>
        <w:keepLines w:val="0"/>
        <w:widowControl w:val="0"/>
        <w:suppressLineNumbers w:val="0"/>
        <w:autoSpaceDE w:val="0"/>
        <w:autoSpaceDN/>
        <w:spacing w:before="0" w:beforeAutospacing="1"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 xml:space="preserve"> 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737B06D4">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576B84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附件：1.廉政合同</w:t>
      </w:r>
    </w:p>
    <w:p w14:paraId="00A1FB21">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default" w:ascii="Times New Roman" w:hAnsi="Times New Roman" w:eastAsia="宋体" w:cs="Times New Roman"/>
          <w:kern w:val="0"/>
          <w:sz w:val="21"/>
          <w:szCs w:val="21"/>
        </w:rPr>
      </w:pPr>
      <w:r>
        <w:rPr>
          <w:rFonts w:hint="eastAsia" w:ascii="仿宋_GB2312" w:hAnsi="Times New Roman" w:eastAsia="仿宋_GB2312" w:cs="仿宋_GB2312"/>
          <w:kern w:val="0"/>
          <w:sz w:val="28"/>
          <w:szCs w:val="28"/>
          <w:lang w:val="en-US" w:eastAsia="zh-CN" w:bidi="ar"/>
        </w:rPr>
        <w:t>2.安全生产合同</w:t>
      </w:r>
    </w:p>
    <w:p w14:paraId="263D7CAD">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eastAsia" w:ascii="仿宋_GB2312" w:eastAsia="仿宋_GB2312" w:cs="仿宋_GB2312"/>
          <w:kern w:val="0"/>
          <w:sz w:val="28"/>
          <w:szCs w:val="28"/>
        </w:rPr>
      </w:pPr>
      <w:r>
        <w:rPr>
          <w:rFonts w:hint="eastAsia" w:ascii="仿宋_GB2312" w:hAnsi="Times New Roman" w:eastAsia="仿宋_GB2312" w:cs="仿宋_GB2312"/>
          <w:kern w:val="0"/>
          <w:sz w:val="28"/>
          <w:szCs w:val="28"/>
          <w:lang w:val="en-US" w:eastAsia="zh-CN" w:bidi="ar"/>
        </w:rPr>
        <w:t>3.报价清单</w:t>
      </w:r>
    </w:p>
    <w:p w14:paraId="179C67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（以下无正文）</w:t>
      </w:r>
    </w:p>
    <w:p w14:paraId="31F08A5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7E08D9B">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9B22AD8">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D4C737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C58D8F">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2C693C">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251C2A51">
      <w:pPr>
        <w:keepNext w:val="0"/>
        <w:keepLines w:val="0"/>
        <w:widowControl w:val="0"/>
        <w:suppressLineNumbers w:val="0"/>
        <w:wordWrap w:val="0"/>
        <w:autoSpaceDE w:val="0"/>
        <w:autoSpaceDN/>
        <w:spacing w:before="0" w:beforeAutospacing="0" w:after="0" w:afterAutospacing="0" w:line="560" w:lineRule="exact"/>
        <w:ind w:left="0" w:right="0"/>
        <w:jc w:val="both"/>
        <w:rPr>
          <w:rFonts w:hint="default" w:ascii="Calibri" w:hAnsi="Calibri" w:eastAsia="宋体" w:cs="Times New Roman"/>
          <w:kern w:val="2"/>
          <w:sz w:val="21"/>
          <w:szCs w:val="21"/>
        </w:rPr>
      </w:pPr>
      <w:permStart w:id="6" w:edGrp="everyone"/>
      <w:r>
        <w:rPr>
          <w:rFonts w:hint="eastAsia" w:ascii="仿宋_GB2312" w:hAnsi="Calibri" w:eastAsia="仿宋_GB2312" w:cs="仿宋_GB2312"/>
          <w:kern w:val="2"/>
          <w:sz w:val="28"/>
          <w:szCs w:val="28"/>
          <w:lang w:val="en-US" w:eastAsia="zh-CN" w:bidi="ar"/>
        </w:rPr>
        <w:t xml:space="preserve">甲方：安徽省经工物资有限公司       乙方：  </w:t>
      </w:r>
    </w:p>
    <w:p w14:paraId="61E30B7C">
      <w:pPr>
        <w:keepNext w:val="0"/>
        <w:keepLines w:val="0"/>
        <w:widowControl w:val="0"/>
        <w:suppressLineNumbers w:val="0"/>
        <w:wordWrap w:val="0"/>
        <w:autoSpaceDE w:val="0"/>
        <w:autoSpaceDN/>
        <w:spacing w:before="0" w:beforeAutospacing="0" w:after="0" w:afterAutospacing="0" w:line="560" w:lineRule="exact"/>
        <w:ind w:left="0" w:right="0" w:firstLine="2800" w:firstLineChars="10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（盖章）                          （盖章）</w:t>
      </w:r>
    </w:p>
    <w:p w14:paraId="46CE98A1">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36154A9F">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44FA0B5C">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纳税识别号：91340100MA2MY6GA6E     纳税识别号:</w:t>
      </w:r>
    </w:p>
    <w:p w14:paraId="40068A3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地址：安徽省合肥市蜀山区甘泉路     地址：</w:t>
      </w:r>
    </w:p>
    <w:p w14:paraId="10E6FF36">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398号                               </w:t>
      </w:r>
    </w:p>
    <w:p w14:paraId="74944895">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开户银行：工行合肥蜀山支行         开户银行：</w:t>
      </w:r>
    </w:p>
    <w:p w14:paraId="0602C76E">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账号：1302012119200034038          账号：</w:t>
      </w:r>
    </w:p>
    <w:p w14:paraId="2084335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电子邮箱： jgwzswgl@163.com        电子邮箱：</w:t>
      </w:r>
    </w:p>
    <w:p w14:paraId="1F07C6D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276B74E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spacing w:val="0"/>
          <w:kern w:val="2"/>
          <w:sz w:val="28"/>
          <w:szCs w:val="28"/>
        </w:rPr>
      </w:pPr>
      <w:r>
        <w:rPr>
          <w:rFonts w:hint="eastAsia" w:ascii="仿宋_GB2312" w:hAnsi="Calibri" w:eastAsia="仿宋_GB2312" w:cs="仿宋_GB2312"/>
          <w:spacing w:val="0"/>
          <w:kern w:val="2"/>
          <w:sz w:val="28"/>
          <w:szCs w:val="28"/>
          <w:lang w:val="en-US" w:eastAsia="zh-CN" w:bidi="ar"/>
        </w:rPr>
        <w:br w:type="page"/>
      </w:r>
    </w:p>
    <w:p w14:paraId="2990D730">
      <w:pPr>
        <w:rPr>
          <w:rFonts w:hint="eastAsia" w:ascii="Calibri" w:hAnsi="Calibri" w:eastAsia="宋体" w:cs="Times New Roman"/>
          <w:kern w:val="2"/>
          <w:sz w:val="21"/>
          <w:szCs w:val="21"/>
        </w:rPr>
        <w:sectPr>
          <w:pgSz w:w="11906" w:h="16838"/>
          <w:pgMar w:top="1440" w:right="1800" w:bottom="1440" w:left="1800" w:header="851" w:footer="992" w:gutter="0"/>
          <w:pgNumType w:fmt="decimal"/>
          <w:cols w:space="425" w:num="1"/>
          <w:docGrid w:type="lines" w:linePitch="312" w:charSpace="0"/>
        </w:sectPr>
      </w:pPr>
    </w:p>
    <w:permEnd w:id="6"/>
    <w:p w14:paraId="12AF2B88">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spacing w:val="0"/>
          <w:kern w:val="2"/>
          <w:sz w:val="28"/>
          <w:szCs w:val="28"/>
        </w:rPr>
      </w:pPr>
      <w:r>
        <w:rPr>
          <w:rFonts w:hint="eastAsia" w:ascii="仿宋_GB2312" w:hAnsi="Calibri" w:eastAsia="仿宋_GB2312" w:cs="仿宋_GB2312"/>
          <w:b/>
          <w:bCs/>
          <w:spacing w:val="0"/>
          <w:kern w:val="2"/>
          <w:sz w:val="28"/>
          <w:szCs w:val="28"/>
          <w:lang w:val="en-US" w:eastAsia="zh-CN" w:bidi="ar"/>
        </w:rPr>
        <w:t>附件1：</w:t>
      </w:r>
    </w:p>
    <w:p w14:paraId="54AFBE5C">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spacing w:val="0"/>
          <w:kern w:val="2"/>
          <w:sz w:val="44"/>
          <w:szCs w:val="44"/>
        </w:rPr>
      </w:pPr>
      <w:r>
        <w:rPr>
          <w:rFonts w:hint="eastAsia" w:ascii="方正小标宋简体" w:hAnsi="方正小标宋简体" w:eastAsia="方正小标宋简体" w:cs="方正小标宋简体"/>
          <w:b/>
          <w:bCs/>
          <w:spacing w:val="0"/>
          <w:kern w:val="2"/>
          <w:sz w:val="44"/>
          <w:szCs w:val="44"/>
          <w:lang w:val="en-US" w:eastAsia="zh-CN" w:bidi="ar"/>
        </w:rPr>
        <w:t>廉 政 合 同</w:t>
      </w:r>
    </w:p>
    <w:p w14:paraId="23D1A097">
      <w:pPr>
        <w:pStyle w:val="17"/>
        <w:keepNext w:val="0"/>
        <w:keepLines w:val="0"/>
        <w:widowControl w:val="0"/>
        <w:suppressLineNumbers w:val="0"/>
        <w:autoSpaceDE w:val="0"/>
        <w:autoSpaceDN/>
        <w:spacing w:before="0" w:beforeAutospacing="1" w:after="120" w:afterAutospacing="0" w:line="560" w:lineRule="exact"/>
        <w:ind w:left="0" w:right="0" w:firstLine="422" w:firstLineChars="200"/>
        <w:jc w:val="both"/>
        <w:rPr>
          <w:rFonts w:hint="eastAsia" w:ascii="Calibri" w:hAnsi="Calibri" w:eastAsia="宋体" w:cs="Times New Roman"/>
          <w:b/>
          <w:bCs/>
          <w:kern w:val="2"/>
          <w:sz w:val="21"/>
          <w:szCs w:val="21"/>
        </w:rPr>
      </w:pPr>
      <w:r>
        <w:rPr>
          <w:rFonts w:hint="eastAsia" w:ascii="Calibri" w:hAnsi="Calibri" w:eastAsia="宋体" w:cs="Times New Roman"/>
          <w:b/>
          <w:bCs/>
          <w:kern w:val="2"/>
          <w:sz w:val="21"/>
          <w:szCs w:val="21"/>
          <w:lang w:val="en-US" w:eastAsia="zh-CN" w:bidi="ar"/>
        </w:rPr>
        <w:t xml:space="preserve"> </w:t>
      </w:r>
    </w:p>
    <w:p w14:paraId="22A941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spacing w:val="0"/>
          <w:kern w:val="2"/>
          <w:sz w:val="28"/>
          <w:szCs w:val="28"/>
          <w:lang w:val="en-US" w:eastAsia="zh-CN" w:bidi="ar"/>
        </w:rPr>
        <w:t xml:space="preserve">为抓好物资设备等采购供应中的党风廉政建设，规范、约束采供双方行为，确保双方工作人员廉洁从业， </w:t>
      </w:r>
      <w:permStart w:id="7" w:edGrp="everyone"/>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7"/>
      <w:r>
        <w:rPr>
          <w:rFonts w:hint="eastAsia" w:ascii="仿宋_GB2312" w:hAnsi="Calibri" w:eastAsia="仿宋_GB2312" w:cs="仿宋_GB2312"/>
          <w:kern w:val="2"/>
          <w:sz w:val="28"/>
          <w:szCs w:val="28"/>
          <w:lang w:val="en-US" w:eastAsia="zh-CN" w:bidi="ar"/>
        </w:rPr>
        <w:t>项目名称）的采购人</w:t>
      </w:r>
      <w:permStart w:id="8" w:edGrp="everyone"/>
      <w:r>
        <w:rPr>
          <w:rFonts w:hint="eastAsia" w:ascii="仿宋_GB2312" w:hAnsi="Calibri" w:eastAsia="仿宋_GB2312" w:cs="仿宋_GB2312"/>
          <w:kern w:val="2"/>
          <w:sz w:val="28"/>
          <w:szCs w:val="28"/>
          <w:u w:val="single"/>
          <w:lang w:val="en-US" w:eastAsia="zh-CN" w:bidi="ar"/>
        </w:rPr>
        <w:t xml:space="preserve"> 安徽省经工物资有限公司  </w:t>
      </w:r>
      <w:permEnd w:id="8"/>
      <w:r>
        <w:rPr>
          <w:rFonts w:hint="eastAsia" w:ascii="仿宋_GB2312" w:hAnsi="Calibri" w:eastAsia="仿宋_GB2312" w:cs="仿宋_GB2312"/>
          <w:kern w:val="2"/>
          <w:sz w:val="28"/>
          <w:szCs w:val="28"/>
          <w:lang w:val="en-US" w:eastAsia="zh-CN" w:bidi="ar"/>
        </w:rPr>
        <w:t>（采购人名称，以下简称甲方）与该项目的供货商</w:t>
      </w:r>
      <w:permStart w:id="9" w:edGrp="everyone"/>
      <w:r>
        <w:rPr>
          <w:rFonts w:hint="eastAsia" w:ascii="仿宋_GB2312" w:hAnsi="Calibri" w:eastAsia="仿宋_GB2312" w:cs="仿宋_GB2312"/>
          <w:kern w:val="2"/>
          <w:sz w:val="28"/>
          <w:szCs w:val="28"/>
          <w:u w:val="single"/>
          <w:lang w:val="en-US" w:eastAsia="zh-CN" w:bidi="ar"/>
        </w:rPr>
        <w:t xml:space="preserve">               </w:t>
      </w:r>
      <w:permEnd w:id="9"/>
      <w:r>
        <w:rPr>
          <w:rFonts w:hint="eastAsia" w:ascii="仿宋_GB2312" w:hAnsi="Calibri" w:eastAsia="仿宋_GB2312" w:cs="仿宋_GB2312"/>
          <w:kern w:val="2"/>
          <w:sz w:val="28"/>
          <w:szCs w:val="28"/>
          <w:lang w:val="en-US" w:eastAsia="zh-CN" w:bidi="ar"/>
        </w:rPr>
        <w:t>（供货商名称，以下简称乙方），特订立如下合同。</w:t>
      </w:r>
    </w:p>
    <w:p w14:paraId="74D6FB2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1.甲乙双方的权利和义务</w:t>
      </w:r>
    </w:p>
    <w:p w14:paraId="4736992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（1）严格遵守党的政策和国家有关法律法规的有关规定。</w:t>
      </w:r>
    </w:p>
    <w:p w14:paraId="4BAA6C6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（2）严格执行</w:t>
      </w:r>
      <w:permStart w:id="10" w:edGrp="everyone"/>
      <w:r>
        <w:rPr>
          <w:rFonts w:hint="eastAsia" w:ascii="仿宋_GB2312" w:hAnsi="Calibri" w:eastAsia="仿宋_GB2312" w:cs="仿宋_GB2312"/>
          <w:kern w:val="2"/>
          <w:sz w:val="28"/>
          <w:szCs w:val="28"/>
          <w:u w:val="single"/>
          <w:lang w:val="en-US" w:eastAsia="zh-CN" w:bidi="ar"/>
        </w:rPr>
        <w:t xml:space="preserve">                             </w:t>
      </w:r>
      <w:permEnd w:id="10"/>
      <w:r>
        <w:rPr>
          <w:rFonts w:hint="eastAsia" w:ascii="仿宋_GB2312" w:hAnsi="Calibri" w:eastAsia="仿宋_GB2312" w:cs="仿宋_GB2312"/>
          <w:kern w:val="2"/>
          <w:sz w:val="28"/>
          <w:szCs w:val="28"/>
          <w:lang w:val="en-US" w:eastAsia="zh-CN" w:bidi="ar"/>
        </w:rPr>
        <w:t>（合同文件名称）合同文件，自觉按合同办事。</w:t>
      </w:r>
    </w:p>
    <w:p w14:paraId="11F3E2A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（3）双方的业务活动坚持公开、公正、诚信、透明的原则（法律认定的商业秘密和合同文件另有规定除外），不得损害国家和集体利益。</w:t>
      </w:r>
    </w:p>
    <w:p w14:paraId="18FB95C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（4）建立健全廉政制度，开展廉政教育和廉洁文化建设，公布举报电话，监督并认真查处违规违纪违法行为。</w:t>
      </w:r>
    </w:p>
    <w:p w14:paraId="04EC5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（5）发现对方在业务活动中有违反廉政规定的行为，有及时提醒对方纠正的权利和义务。</w:t>
      </w:r>
    </w:p>
    <w:p w14:paraId="7253F62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（6）发现对方严重违反本合同义务条款的行为，有向有关部门举报、建议给予处理并要求告知处理结果的权利。</w:t>
      </w:r>
    </w:p>
    <w:p w14:paraId="2B1FBE5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2.甲方的义务</w:t>
      </w:r>
    </w:p>
    <w:p w14:paraId="75DDFC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（1）甲方及其工作人员不得利用职务之便索要或接受乙方的礼品、礼金、消费卡和有价证券、股权、其他金融产品等财物。</w:t>
      </w:r>
    </w:p>
    <w:p w14:paraId="2AC656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（2）甲方及其工作人员不得在利用职务之便为乙方谋取利益之前或之后，约定在其离职后收受乙方财物，并在离职后收受。</w:t>
      </w:r>
    </w:p>
    <w:p w14:paraId="173DA8E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（3）甲方及其工作人员不得在乙方报销应由甲方或个人支付的费用等。</w:t>
      </w:r>
    </w:p>
    <w:p w14:paraId="65C6EFE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（4）甲方及其工作人员不得要求或者接受乙方可能影响公正执行公务的宴请以及旅游、健身、娱乐等活动安排，不得要求和接受乙方提供的交通工具、通讯工具、高档办公用品等。</w:t>
      </w:r>
    </w:p>
    <w:p w14:paraId="67A49B3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0A38FDC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（6）甲方及其工作人员不得要求乙方购买合同规定外的材料和设备。    </w:t>
      </w:r>
    </w:p>
    <w:p w14:paraId="14742A8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（7）甲方及其工作人员不得有其他可能影响廉洁从业的行为。</w:t>
      </w:r>
    </w:p>
    <w:p w14:paraId="0FBC4378">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3.乙方的义务</w:t>
      </w:r>
    </w:p>
    <w:p w14:paraId="6067E06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（1）乙方及其工作人员不得以任何形式向甲方及其工作人员行贿或馈赠礼品、礼金、消费卡和有价证券、股权、其他金融产品等财物，以及回扣、好处费、感谢费等。</w:t>
      </w:r>
    </w:p>
    <w:p w14:paraId="4EDED03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（2）乙方及其工作人员不得与甲方及其工作人员约定，甲方及其工作人员利用职务之便为乙方谋取利益，乙方在其离职后给予财物。</w:t>
      </w:r>
    </w:p>
    <w:p w14:paraId="09C10A3E">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（3）乙方不得以任何名义为甲方及其工作人员报销由甲方单位或个人支付的任何费用。</w:t>
      </w:r>
    </w:p>
    <w:p w14:paraId="6E7671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（4）乙方及其工作人员不得以任何理由邀请甲方工作人员参与可能影响公正执行公务的宴请以及旅游、健身、娱乐等活动。不得为甲方单位和个人购置或提供通讯工具、交通工具和高档办公用品等。</w:t>
      </w:r>
    </w:p>
    <w:p w14:paraId="4728CE3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（5）乙方及其工作人员不得为甲方工作人员住房装修、婚丧嫁娶、出国出境、旅游等提供方便；不得为甲方工作人员的特定关系人以安排工作为名，使其不实际工作却获取薪酬。</w:t>
      </w:r>
    </w:p>
    <w:p w14:paraId="441779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（6）乙方及其工作人员不得有其他可能影响廉洁从业的行为。</w:t>
      </w:r>
    </w:p>
    <w:p w14:paraId="06F9CBC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4.违约责任</w:t>
      </w:r>
    </w:p>
    <w:p w14:paraId="7798DF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（1）甲方及其工作人员违反本合同第1、2条，按管理权限，依据有关规定给予党纪政务处分和组织处理；涉嫌犯罪的，移交司法机关追究刑事责任；给乙方单位造成经济损失的，应予以赔偿。</w:t>
      </w:r>
    </w:p>
    <w:p w14:paraId="7D3718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（2）乙方及其工作人员违反本合同第1、3条，按管理权限，依据有关规定，给予相关处理；给甲方单位造成经济损失的，应予以赔偿。</w:t>
      </w:r>
    </w:p>
    <w:p w14:paraId="3FA102F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5.本合同有效期为甲乙双方签署之日起至该供货合同履行完毕后止。</w:t>
      </w:r>
    </w:p>
    <w:p w14:paraId="592A110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6.本合同作为</w:t>
      </w:r>
      <w:permStart w:id="11" w:edGrp="everyone"/>
      <w:r>
        <w:rPr>
          <w:rFonts w:hint="eastAsia" w:ascii="仿宋_GB2312" w:hAnsi="Calibri" w:eastAsia="仿宋_GB2312" w:cs="仿宋_GB2312"/>
          <w:kern w:val="2"/>
          <w:sz w:val="28"/>
          <w:szCs w:val="28"/>
          <w:u w:val="single"/>
          <w:lang w:val="en-US" w:eastAsia="zh-CN" w:bidi="ar"/>
        </w:rPr>
        <w:t xml:space="preserve">                             </w:t>
      </w:r>
      <w:permEnd w:id="11"/>
      <w:r>
        <w:rPr>
          <w:rFonts w:hint="eastAsia" w:ascii="仿宋_GB2312" w:hAnsi="Calibri" w:eastAsia="仿宋_GB2312" w:cs="仿宋_GB2312"/>
          <w:kern w:val="2"/>
          <w:sz w:val="28"/>
          <w:szCs w:val="28"/>
          <w:lang w:val="en-US" w:eastAsia="zh-CN" w:bidi="ar"/>
        </w:rPr>
        <w:t>（合同文件名称）的附件，与采购合同具有同等的法律效力，经合同双方签署立即生效。</w:t>
      </w:r>
    </w:p>
    <w:p w14:paraId="2BA3D8A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3639956D">
      <w:pPr>
        <w:pStyle w:val="17"/>
        <w:keepNext w:val="0"/>
        <w:keepLines w:val="0"/>
        <w:widowControl w:val="0"/>
        <w:suppressLineNumbers w:val="0"/>
        <w:spacing w:before="0" w:beforeAutospacing="1" w:after="120" w:afterAutospacing="0"/>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617457CE">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5E6D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                  乙方（盖章）：</w:t>
      </w:r>
    </w:p>
    <w:p w14:paraId="070ACCA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48DFC19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03213A06">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439D64A5">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
    <w:p w14:paraId="09D7B130">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ermStart w:id="12" w:edGrp="everyone"/>
      <w:permEnd w:id="12"/>
      <w:r>
        <w:rPr>
          <w:rFonts w:hint="eastAsia" w:ascii="仿宋_GB2312" w:hAnsi="Calibri" w:eastAsia="仿宋_GB2312" w:cs="仿宋_GB2312"/>
          <w:b/>
          <w:bCs w:val="0"/>
          <w:kern w:val="2"/>
          <w:sz w:val="28"/>
          <w:szCs w:val="28"/>
          <w:lang w:val="en-US" w:eastAsia="zh-CN" w:bidi="ar"/>
        </w:rPr>
        <w:t>附件2：</w:t>
      </w:r>
    </w:p>
    <w:p w14:paraId="1B405F48">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val="0"/>
          <w:kern w:val="2"/>
          <w:sz w:val="44"/>
          <w:szCs w:val="44"/>
        </w:rPr>
      </w:pPr>
      <w:r>
        <w:rPr>
          <w:rFonts w:hint="eastAsia" w:ascii="方正小标宋简体" w:hAnsi="方正小标宋简体" w:eastAsia="方正小标宋简体" w:cs="方正小标宋简体"/>
          <w:b/>
          <w:bCs w:val="0"/>
          <w:kern w:val="2"/>
          <w:sz w:val="44"/>
          <w:szCs w:val="44"/>
          <w:lang w:val="en-US" w:eastAsia="zh-CN" w:bidi="ar"/>
        </w:rPr>
        <w:t>安全生产合同</w:t>
      </w:r>
    </w:p>
    <w:p w14:paraId="50866532">
      <w:pPr>
        <w:pStyle w:val="17"/>
        <w:keepNext w:val="0"/>
        <w:keepLines w:val="0"/>
        <w:widowControl w:val="0"/>
        <w:suppressLineNumbers w:val="0"/>
        <w:autoSpaceDE w:val="0"/>
        <w:autoSpaceDN/>
        <w:spacing w:before="0" w:beforeAutospacing="1" w:after="120" w:afterAutospacing="0" w:line="560" w:lineRule="exact"/>
        <w:ind w:left="0" w:right="0" w:firstLine="420" w:firstLineChars="20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92AF3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为在</w:t>
      </w:r>
      <w:permStart w:id="13" w:edGrp="everyone"/>
      <w:r>
        <w:rPr>
          <w:rFonts w:hint="eastAsia" w:ascii="仿宋_GB2312" w:hAnsi="Calibri" w:eastAsia="仿宋_GB2312" w:cs="仿宋_GB2312"/>
          <w:spacing w:val="0"/>
          <w:kern w:val="2"/>
          <w:sz w:val="28"/>
          <w:szCs w:val="28"/>
          <w:lang w:val="en-US" w:eastAsia="zh-CN" w:bidi="ar"/>
        </w:rPr>
        <w:t xml:space="preserve"> </w:t>
      </w:r>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13"/>
      <w:r>
        <w:rPr>
          <w:rFonts w:hint="eastAsia" w:ascii="仿宋_GB2312" w:hAnsi="Calibri" w:eastAsia="仿宋_GB2312" w:cs="仿宋_GB2312"/>
          <w:kern w:val="2"/>
          <w:sz w:val="28"/>
          <w:szCs w:val="28"/>
          <w:lang w:val="en-US" w:eastAsia="zh-CN" w:bidi="ar"/>
        </w:rPr>
        <w:t xml:space="preserve">项目名称）的实施过程中创造安全、高效的施工环境，切实搞好本项目的安全管理工作，本项目采购人 </w:t>
      </w:r>
      <w:permStart w:id="14" w:edGrp="everyone"/>
      <w:r>
        <w:rPr>
          <w:rFonts w:hint="eastAsia" w:ascii="仿宋_GB2312" w:hAnsi="Calibri" w:eastAsia="仿宋_GB2312" w:cs="仿宋_GB2312"/>
          <w:kern w:val="2"/>
          <w:sz w:val="28"/>
          <w:szCs w:val="28"/>
          <w:lang w:val="en-US" w:eastAsia="zh-CN" w:bidi="ar"/>
        </w:rPr>
        <w:t xml:space="preserve"> </w:t>
      </w:r>
      <w:r>
        <w:rPr>
          <w:rFonts w:hint="eastAsia" w:ascii="仿宋_GB2312" w:hAnsi="Calibri" w:eastAsia="仿宋_GB2312" w:cs="仿宋_GB2312"/>
          <w:kern w:val="2"/>
          <w:sz w:val="28"/>
          <w:szCs w:val="28"/>
          <w:u w:val="single"/>
          <w:lang w:val="en-US" w:eastAsia="zh-CN" w:bidi="ar"/>
        </w:rPr>
        <w:t xml:space="preserve"> 安徽省经工物资有限公司    </w:t>
      </w:r>
      <w:permEnd w:id="14"/>
      <w:r>
        <w:rPr>
          <w:rFonts w:hint="eastAsia" w:ascii="仿宋_GB2312" w:hAnsi="Calibri" w:eastAsia="仿宋_GB2312" w:cs="仿宋_GB2312"/>
          <w:kern w:val="2"/>
          <w:sz w:val="28"/>
          <w:szCs w:val="28"/>
          <w:lang w:val="en-US" w:eastAsia="zh-CN" w:bidi="ar"/>
        </w:rPr>
        <w:t>（采购人名称，以下简称甲方）与该项目的供货商</w:t>
      </w:r>
      <w:permStart w:id="15" w:edGrp="everyone"/>
      <w:r>
        <w:rPr>
          <w:rFonts w:hint="eastAsia" w:ascii="仿宋_GB2312" w:hAnsi="Calibri" w:eastAsia="仿宋_GB2312" w:cs="仿宋_GB2312"/>
          <w:kern w:val="2"/>
          <w:sz w:val="28"/>
          <w:szCs w:val="28"/>
          <w:u w:val="single"/>
          <w:lang w:val="en-US" w:eastAsia="zh-CN" w:bidi="ar"/>
        </w:rPr>
        <w:t xml:space="preserve">              </w:t>
      </w:r>
      <w:permEnd w:id="15"/>
      <w:r>
        <w:rPr>
          <w:rFonts w:hint="eastAsia" w:ascii="仿宋_GB2312" w:hAnsi="Calibri" w:eastAsia="仿宋_GB2312" w:cs="仿宋_GB2312"/>
          <w:kern w:val="2"/>
          <w:sz w:val="28"/>
          <w:szCs w:val="28"/>
          <w:lang w:val="en-US" w:eastAsia="zh-CN" w:bidi="ar"/>
        </w:rPr>
        <w:t>（供货商名称，以下简称乙方）特此签订此安全生产合同：</w:t>
      </w:r>
    </w:p>
    <w:p w14:paraId="1A42E5F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强化企业安全生产主体责任，加强道路运输安全管理，防止和减少安全事故，保障人民群众生命和财产安全，有效促进双方全面履行经营合同，维护双方的合法权益，依据《中华人民共和国民法典》、《中华人民共和国道路交通安全法》、《中华人民共和国安全生产法》、《中华人民共和国环境保护法》等相关安全法律、行政法规和规章，在平等、自愿、公平和诚实信用的原则下，双方就材料供应、运输安全事项协商一致，双方达成如下协议：</w:t>
      </w:r>
    </w:p>
    <w:p w14:paraId="3229A83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一、本协议履行期限与双方签订的材料供应合同履行期限相同，属材料供应合同的附件之一，具有与材料供应合同同等的法律效力。</w:t>
      </w:r>
    </w:p>
    <w:p w14:paraId="45FE76E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二、甲方负责提供材料堆放场地，乙方负责供应及运输。</w:t>
      </w:r>
    </w:p>
    <w:p w14:paraId="7321D99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三、在甲方运输区域，乙方运输车辆必须服从甲方的统一管理、调度和指挥，严格遵守交通规则，保证道路的畅通和运输安全，不得乱停、乱靠、乱装，不得争道抢行，不得超速超载。</w:t>
      </w:r>
    </w:p>
    <w:p w14:paraId="3735E15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四、乙方对提供的运输车辆应当已取得国家道路运输的许可证，并确保车辆性能符合安全技术标准、防止带病上路运行，已依照国家法律政策规定购齐有关车辆保险。</w:t>
      </w:r>
    </w:p>
    <w:p w14:paraId="7774D8CF">
      <w:pPr>
        <w:pStyle w:val="17"/>
        <w:keepNext w:val="0"/>
        <w:keepLines w:val="0"/>
        <w:widowControl w:val="0"/>
        <w:suppressLineNumbers w:val="0"/>
        <w:spacing w:before="0" w:beforeAutospacing="1" w:after="12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45F96DB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五、乙方应当设立安全管理人员，配备有专业知识、技能的人员并明确责任，建立、健全安全规章制度，为其雇佣的从业人员提供安全法规知识、安全规章制度、安全操作规程和安全操作技能教育和培训。</w:t>
      </w:r>
    </w:p>
    <w:p w14:paraId="139133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六、乙方应确保有安全防护措施，发现不安全因素，及时处理。在甲方区域，禁止出现无证操作、无证驾驶现象。</w:t>
      </w:r>
    </w:p>
    <w:p w14:paraId="020EBF1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七、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4C030E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八、乙方在履行合同过程中，必须确保货物运输及供应安全，如发生各类人身、财产事故，造成的一切损失均由乙方负责承担，甲方概不负责。</w:t>
      </w:r>
    </w:p>
    <w:p w14:paraId="26569E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九、争议的解决 </w:t>
      </w:r>
    </w:p>
    <w:p w14:paraId="33D19CF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本合同在履行中如发生争议，双方应及时协商解决。协商不成的，任何一方均有权将合同争议事项向甲方公司注册所在地人民法院提起诉讼，通过法定程序解决。</w:t>
      </w:r>
    </w:p>
    <w:p w14:paraId="3D35C48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十、本协议一式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 xml:space="preserve">份，甲方执 </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6F68804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7023A75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乙方（盖章）：</w:t>
      </w:r>
    </w:p>
    <w:p w14:paraId="4F47769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                      法定代表人</w:t>
      </w:r>
    </w:p>
    <w:p w14:paraId="6892E4D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或授权委托人（签字）：          或授权委托人（签字）：</w:t>
      </w:r>
    </w:p>
    <w:p w14:paraId="0C8D3EE4">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年   月   日                    年   月   日</w:t>
      </w:r>
    </w:p>
    <w:p w14:paraId="5EB9DD5C">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hAnsi="Calibri" w:eastAsia="仿宋_GB2312" w:cs="仿宋_GB2312"/>
          <w:kern w:val="2"/>
          <w:sz w:val="28"/>
          <w:szCs w:val="28"/>
          <w:lang w:val="en-US" w:eastAsia="zh-CN" w:bidi="ar"/>
        </w:rPr>
      </w:pPr>
    </w:p>
    <w:p w14:paraId="5F93FA3E">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permStart w:id="16" w:edGrp="everyone"/>
      <w:r>
        <w:rPr>
          <w:rFonts w:hint="eastAsia" w:ascii="仿宋_GB2312" w:hAnsi="Calibri" w:eastAsia="仿宋_GB2312" w:cs="仿宋_GB2312"/>
          <w:b/>
          <w:bCs w:val="0"/>
          <w:kern w:val="2"/>
          <w:sz w:val="28"/>
          <w:szCs w:val="28"/>
          <w:lang w:val="en-US" w:eastAsia="zh-CN" w:bidi="ar"/>
        </w:rPr>
        <w:t>附件3：</w:t>
      </w:r>
    </w:p>
    <w:p w14:paraId="3D56923E">
      <w:pPr>
        <w:pStyle w:val="17"/>
        <w:keepNext w:val="0"/>
        <w:keepLines w:val="0"/>
        <w:widowControl w:val="0"/>
        <w:suppressLineNumbers w:val="0"/>
        <w:autoSpaceDE w:val="0"/>
        <w:autoSpaceDN/>
        <w:spacing w:before="0" w:beforeAutospacing="1" w:after="0" w:afterAutospacing="1" w:line="560" w:lineRule="exact"/>
        <w:ind w:left="0" w:right="0" w:firstLine="883" w:firstLineChars="200"/>
        <w:jc w:val="center"/>
        <w:rPr>
          <w:rFonts w:hint="eastAsia" w:ascii="Times New Roman" w:hAnsi="Times New Roman" w:eastAsia="宋体" w:cs="Times New Roman"/>
          <w:kern w:val="0"/>
          <w:sz w:val="21"/>
          <w:szCs w:val="21"/>
        </w:rPr>
      </w:pPr>
      <w:r>
        <w:rPr>
          <w:rFonts w:hint="eastAsia" w:ascii="方正小标宋简体" w:hAnsi="方正小标宋简体" w:eastAsia="方正小标宋简体" w:cs="方正小标宋简体"/>
          <w:b/>
          <w:bCs w:val="0"/>
          <w:kern w:val="0"/>
          <w:sz w:val="44"/>
          <w:szCs w:val="44"/>
          <w:lang w:val="en-US" w:eastAsia="zh-CN" w:bidi="ar"/>
        </w:rPr>
        <w:t>报价清单</w:t>
      </w:r>
    </w:p>
    <w:p w14:paraId="4C92472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FCDE2B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4E4C5D1">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1BCC1D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5EB252A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ermEnd w:id="16"/>
    <w:p w14:paraId="19D60159">
      <w:pPr>
        <w:spacing w:beforeLines="0" w:afterLines="0"/>
        <w:rPr>
          <w:rFonts w:hint="eastAsia"/>
          <w:sz w:val="21"/>
          <w:szCs w:val="24"/>
        </w:rPr>
      </w:pPr>
    </w:p>
    <w:p w14:paraId="2E448C31">
      <w:pPr>
        <w:spacing w:beforeLines="0" w:afterLines="0"/>
        <w:rPr>
          <w:rFonts w:hint="eastAsia"/>
          <w:sz w:val="21"/>
          <w:szCs w:val="24"/>
        </w:rPr>
        <w:sectPr>
          <w:pgSz w:w="11906" w:h="16838"/>
          <w:pgMar w:top="1440" w:right="1797" w:bottom="1440" w:left="1797" w:header="851" w:footer="992" w:gutter="0"/>
          <w:pgNumType w:fmt="decimal"/>
          <w:cols w:space="425" w:num="1"/>
          <w:docGrid w:type="lines" w:linePitch="312" w:charSpace="0"/>
        </w:sectPr>
      </w:pPr>
    </w:p>
    <w:p w14:paraId="7356CE2E">
      <w:pPr>
        <w:pStyle w:val="2"/>
        <w:numPr>
          <w:ilvl w:val="0"/>
          <w:numId w:val="0"/>
        </w:numPr>
        <w:spacing w:before="312" w:after="312"/>
        <w:rPr>
          <w:rFonts w:hint="eastAsia" w:ascii="Times New Roman" w:hAnsi="Times New Roman" w:eastAsia="宋体"/>
          <w:sz w:val="36"/>
          <w:szCs w:val="44"/>
          <w:highlight w:val="none"/>
        </w:rPr>
      </w:pPr>
      <w:bookmarkStart w:id="57" w:name="_Toc5588"/>
      <w:r>
        <w:rPr>
          <w:rFonts w:hint="eastAsia" w:ascii="Times New Roman" w:hAnsi="Times New Roman" w:eastAsia="宋体"/>
          <w:sz w:val="36"/>
          <w:szCs w:val="44"/>
          <w:highlight w:val="none"/>
          <w:lang w:val="en-US" w:eastAsia="zh-CN"/>
        </w:rPr>
        <w:t xml:space="preserve">第五章 </w:t>
      </w:r>
      <w:r>
        <w:rPr>
          <w:rFonts w:hint="eastAsia" w:ascii="Times New Roman" w:hAnsi="Times New Roman" w:eastAsia="宋体"/>
          <w:sz w:val="36"/>
          <w:szCs w:val="44"/>
          <w:highlight w:val="none"/>
        </w:rPr>
        <w:t>采购需求及清单</w:t>
      </w:r>
      <w:bookmarkEnd w:id="57"/>
    </w:p>
    <w:p w14:paraId="28C3F785">
      <w:pPr>
        <w:spacing w:beforeLines="0" w:afterLines="0"/>
        <w:jc w:val="left"/>
        <w:rPr>
          <w:rFonts w:hint="eastAsia" w:ascii="宋体" w:hAnsi="宋体"/>
          <w:color w:val="000000"/>
          <w:sz w:val="22"/>
          <w:szCs w:val="24"/>
        </w:rPr>
      </w:pPr>
    </w:p>
    <w:p w14:paraId="34CD70FE">
      <w:pPr>
        <w:spacing w:beforeLines="0" w:afterLines="0"/>
        <w:jc w:val="left"/>
        <w:rPr>
          <w:rFonts w:hint="eastAsia" w:ascii="宋体" w:hAnsi="宋体"/>
          <w:color w:val="000000"/>
          <w:sz w:val="22"/>
          <w:szCs w:val="24"/>
        </w:rPr>
      </w:pPr>
    </w:p>
    <w:p w14:paraId="7FAA6718">
      <w:pPr>
        <w:spacing w:beforeLines="0" w:afterLines="0"/>
        <w:jc w:val="left"/>
        <w:rPr>
          <w:rFonts w:hint="eastAsia" w:ascii="宋体" w:hAnsi="宋体"/>
          <w:color w:val="000000"/>
          <w:sz w:val="22"/>
          <w:szCs w:val="24"/>
        </w:rPr>
      </w:pPr>
    </w:p>
    <w:p w14:paraId="4B2FB7F0">
      <w:pPr>
        <w:spacing w:beforeLines="0" w:afterLines="0"/>
        <w:jc w:val="left"/>
        <w:rPr>
          <w:rFonts w:hint="eastAsia" w:ascii="宋体" w:hAnsi="宋体"/>
          <w:color w:val="000000"/>
          <w:sz w:val="22"/>
          <w:szCs w:val="24"/>
        </w:rPr>
      </w:pPr>
    </w:p>
    <w:p w14:paraId="6DBF2A7D">
      <w:pPr>
        <w:spacing w:beforeLines="0" w:afterLines="0"/>
        <w:jc w:val="left"/>
        <w:rPr>
          <w:rFonts w:hint="default" w:ascii="宋体" w:hAnsi="宋体" w:eastAsiaTheme="minorEastAsia"/>
          <w:color w:val="000000"/>
          <w:sz w:val="28"/>
          <w:szCs w:val="28"/>
          <w:highlight w:val="yellow"/>
          <w:lang w:val="en-US" w:eastAsia="zh-CN"/>
        </w:rPr>
        <w:sectPr>
          <w:pgSz w:w="11906" w:h="16838"/>
          <w:pgMar w:top="1440" w:right="1797" w:bottom="1440" w:left="1797" w:header="851" w:footer="992" w:gutter="0"/>
          <w:pgNumType w:fmt="decimal"/>
          <w:cols w:space="425" w:num="1"/>
          <w:docGrid w:type="lines" w:linePitch="312" w:charSpace="0"/>
        </w:sectPr>
      </w:pPr>
      <w:r>
        <w:rPr>
          <w:rFonts w:hint="eastAsia" w:ascii="宋体" w:hAnsi="宋体"/>
          <w:color w:val="000000"/>
          <w:sz w:val="28"/>
          <w:szCs w:val="28"/>
          <w:highlight w:val="yellow"/>
          <w:lang w:val="en-US" w:eastAsia="zh-CN"/>
        </w:rPr>
        <w:t>详见附件</w:t>
      </w:r>
    </w:p>
    <w:p w14:paraId="4AB462B6">
      <w:pPr>
        <w:pStyle w:val="2"/>
        <w:numPr>
          <w:ilvl w:val="0"/>
          <w:numId w:val="0"/>
        </w:numPr>
        <w:spacing w:before="312" w:after="312"/>
        <w:rPr>
          <w:rFonts w:hint="eastAsia" w:ascii="Times New Roman" w:hAnsi="Times New Roman" w:eastAsia="宋体"/>
          <w:sz w:val="36"/>
          <w:szCs w:val="44"/>
          <w:highlight w:val="none"/>
          <w:lang w:val="en-US" w:eastAsia="zh-CN"/>
        </w:rPr>
      </w:pPr>
      <w:bookmarkStart w:id="58" w:name="_Toc3926"/>
      <w:r>
        <w:rPr>
          <w:rFonts w:hint="eastAsia" w:ascii="Times New Roman" w:hAnsi="Times New Roman" w:eastAsia="宋体"/>
          <w:sz w:val="36"/>
          <w:szCs w:val="44"/>
          <w:highlight w:val="none"/>
          <w:lang w:val="en-US" w:eastAsia="zh-CN"/>
        </w:rPr>
        <w:t>第六章 响应文件格式</w:t>
      </w:r>
      <w:bookmarkEnd w:id="58"/>
    </w:p>
    <w:p w14:paraId="27960B1B">
      <w:pPr>
        <w:rPr>
          <w:rFonts w:hint="eastAsia" w:ascii="方正小标宋简体" w:hAnsi="方正小标宋简体" w:eastAsia="方正小标宋简体" w:cs="方正小标宋简体"/>
          <w:kern w:val="2"/>
          <w:sz w:val="44"/>
          <w:szCs w:val="44"/>
          <w:u w:val="none"/>
          <w:lang w:val="en-US" w:eastAsia="zh-CN" w:bidi="ar"/>
        </w:rPr>
      </w:pPr>
      <w:r>
        <w:rPr>
          <w:rFonts w:hint="eastAsia" w:ascii="方正小标宋简体" w:hAnsi="方正小标宋简体" w:eastAsia="方正小标宋简体" w:cs="方正小标宋简体"/>
          <w:kern w:val="2"/>
          <w:sz w:val="44"/>
          <w:szCs w:val="44"/>
          <w:u w:val="none"/>
          <w:lang w:val="en-US" w:eastAsia="zh-CN" w:bidi="ar"/>
        </w:rPr>
        <w:br w:type="page"/>
      </w:r>
    </w:p>
    <w:p w14:paraId="6EF0519F">
      <w:pPr>
        <w:keepNext w:val="0"/>
        <w:keepLines w:val="0"/>
        <w:widowControl w:val="0"/>
        <w:suppressLineNumbers w:val="0"/>
        <w:spacing w:before="0" w:beforeAutospacing="0" w:after="0" w:afterAutospacing="0"/>
        <w:ind w:left="0" w:right="0"/>
        <w:jc w:val="center"/>
        <w:rPr>
          <w:rFonts w:hint="default" w:ascii="Times New Roman" w:hAnsi="Times New Roman" w:eastAsia="方正小标宋简体" w:cs="Times New Roman"/>
          <w:kern w:val="2"/>
          <w:sz w:val="50"/>
          <w:szCs w:val="50"/>
          <w:u w:val="single"/>
          <w:lang w:val="en-US"/>
        </w:rPr>
      </w:pPr>
      <w:r>
        <w:rPr>
          <w:rFonts w:hint="eastAsia" w:ascii="方正小标宋简体" w:hAnsi="方正小标宋简体" w:eastAsia="方正小标宋简体" w:cs="方正小标宋简体"/>
          <w:kern w:val="2"/>
          <w:sz w:val="44"/>
          <w:szCs w:val="44"/>
          <w:u w:val="none"/>
          <w:lang w:val="en-US" w:eastAsia="zh-CN" w:bidi="ar"/>
        </w:rPr>
        <w:t>安徽省经工物资有限公司蒸压加气混凝土砌块年度采购项目</w:t>
      </w:r>
    </w:p>
    <w:p w14:paraId="2EC4BAC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p>
    <w:p w14:paraId="541CA60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p>
    <w:p w14:paraId="691F6076">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59" w:name="_Toc9500"/>
      <w:bookmarkStart w:id="60" w:name="_Toc15312"/>
      <w:bookmarkStart w:id="61" w:name="_Toc22156"/>
      <w:bookmarkStart w:id="62" w:name="_Toc30063"/>
      <w:bookmarkStart w:id="63" w:name="_Toc31344"/>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59"/>
      <w:bookmarkEnd w:id="60"/>
      <w:bookmarkEnd w:id="61"/>
      <w:bookmarkEnd w:id="62"/>
      <w:bookmarkEnd w:id="63"/>
    </w:p>
    <w:p w14:paraId="7F266D57">
      <w:pPr>
        <w:pStyle w:val="17"/>
        <w:keepNext w:val="0"/>
        <w:keepLines w:val="0"/>
        <w:widowControl w:val="0"/>
        <w:suppressLineNumbers w:val="0"/>
        <w:spacing w:before="0" w:beforeAutospacing="1" w:after="120" w:afterAutospacing="0"/>
        <w:ind w:right="0"/>
        <w:jc w:val="left"/>
        <w:rPr>
          <w:rFonts w:hint="eastAsia" w:ascii="黑体" w:hAnsi="宋体" w:eastAsia="黑体" w:cs="黑体"/>
          <w:kern w:val="2"/>
          <w:sz w:val="28"/>
          <w:szCs w:val="28"/>
          <w:lang w:val="en-US" w:eastAsia="zh-CN" w:bidi="ar"/>
        </w:rPr>
      </w:pPr>
    </w:p>
    <w:p w14:paraId="5F8A15A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p>
    <w:p w14:paraId="61CB24F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p>
    <w:p w14:paraId="00E6F2E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p>
    <w:p w14:paraId="12E734C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p>
    <w:p w14:paraId="7E7772AE">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kern w:val="2"/>
          <w:sz w:val="20"/>
          <w:szCs w:val="20"/>
        </w:rPr>
      </w:pPr>
    </w:p>
    <w:p w14:paraId="2E54EA9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p>
    <w:p w14:paraId="302A4A9C">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kern w:val="2"/>
          <w:sz w:val="20"/>
          <w:szCs w:val="20"/>
        </w:rPr>
      </w:pPr>
    </w:p>
    <w:p w14:paraId="7A26FC50">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p>
    <w:p w14:paraId="58B7EA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p>
    <w:p w14:paraId="5B84924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p>
    <w:p w14:paraId="73765A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p>
    <w:p w14:paraId="296D76D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p>
    <w:p w14:paraId="2C15CDF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全称、盖单位公章</w:t>
      </w:r>
      <w:r>
        <w:rPr>
          <w:rFonts w:hint="default" w:ascii="Times New Roman" w:hAnsi="Times New Roman" w:eastAsia="黑体" w:cs="Times New Roman"/>
          <w:kern w:val="2"/>
          <w:sz w:val="28"/>
          <w:szCs w:val="28"/>
          <w:u w:val="single"/>
          <w:lang w:val="en-US" w:eastAsia="zh-CN" w:bidi="ar"/>
        </w:rPr>
        <w:t xml:space="preserve">) </w:t>
      </w:r>
    </w:p>
    <w:p w14:paraId="50BE5E9E">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p>
    <w:p w14:paraId="243D5C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u w:val="none"/>
        </w:rPr>
      </w:pPr>
      <w:r>
        <w:rPr>
          <w:rFonts w:hint="eastAsia" w:ascii="宋体" w:hAnsi="宋体" w:eastAsia="宋体" w:cs="宋体"/>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年</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月</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Times New Roman" w:hAnsi="Times New Roman" w:eastAsia="黑体" w:cs="Times New Roman"/>
          <w:kern w:val="2"/>
          <w:sz w:val="28"/>
          <w:szCs w:val="28"/>
          <w:u w:val="singl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日</w:t>
      </w:r>
    </w:p>
    <w:p w14:paraId="0D591769">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kern w:val="2"/>
          <w:sz w:val="28"/>
          <w:szCs w:val="28"/>
        </w:rPr>
      </w:pPr>
      <w:r>
        <w:rPr>
          <w:rFonts w:hint="default" w:ascii="Times New Roman" w:hAnsi="Times New Roman" w:eastAsia="黑体" w:cs="Times New Roman"/>
          <w:kern w:val="2"/>
          <w:sz w:val="20"/>
          <w:szCs w:val="20"/>
          <w:lang w:val="en-US" w:eastAsia="zh-CN" w:bidi="ar"/>
        </w:rPr>
        <w:br w:type="page"/>
      </w:r>
    </w:p>
    <w:p w14:paraId="41E07D4D">
      <w:pPr>
        <w:spacing w:beforeLines="0" w:afterLines="0" w:line="440" w:lineRule="exact"/>
        <w:jc w:val="center"/>
        <w:rPr>
          <w:rFonts w:hint="default" w:ascii="Times New Roman" w:hAnsi="Times New Roman" w:eastAsia="黑体"/>
          <w:color w:val="auto"/>
          <w:sz w:val="28"/>
          <w:szCs w:val="28"/>
        </w:rPr>
      </w:pPr>
      <w:bookmarkStart w:id="64" w:name="_Toc7952_WPSOffice_Level2"/>
      <w:bookmarkStart w:id="65" w:name="_Toc21974_WPSOffice_Level2"/>
      <w:bookmarkStart w:id="66" w:name="_Toc96_WPSOffice_Level1"/>
      <w:bookmarkStart w:id="67" w:name="_Toc9551_WPSOffice_Level1"/>
      <w:bookmarkStart w:id="68" w:name="_Toc31224_WPSOffice_Level2"/>
      <w:bookmarkStart w:id="69" w:name="_Toc29095_WPSOffice_Level2"/>
      <w:bookmarkStart w:id="70" w:name="_Toc24832_WPSOffice_Level2"/>
      <w:bookmarkStart w:id="71" w:name="_Toc882_WPSOffice_Level2"/>
      <w:bookmarkStart w:id="72" w:name="_Toc22351_WPSOffice_Level2"/>
      <w:bookmarkStart w:id="73" w:name="_Toc14563_WPSOffice_Level1"/>
      <w:bookmarkStart w:id="74" w:name="_Toc31127_WPSOffice_Level1"/>
      <w:bookmarkStart w:id="75" w:name="_Toc13190_WPSOffice_Level1"/>
      <w:bookmarkStart w:id="76" w:name="_Toc28026"/>
      <w:bookmarkStart w:id="77" w:name="_Toc32350_WPSOffice_Level1"/>
      <w:bookmarkStart w:id="78" w:name="_Toc12530_WPSOffice_Level1"/>
      <w:bookmarkStart w:id="79" w:name="_Toc18668_WPSOffice_Level1"/>
      <w:bookmarkStart w:id="80" w:name="_Toc15033"/>
      <w:bookmarkStart w:id="81" w:name="_Toc7337"/>
      <w:bookmarkStart w:id="82" w:name="_Toc8695_WPSOffice_Level1"/>
      <w:r>
        <w:rPr>
          <w:rFonts w:hint="eastAsia" w:ascii="Times New Roman" w:hAnsi="Times New Roman" w:eastAsia="黑体"/>
          <w:color w:val="auto"/>
          <w:sz w:val="28"/>
          <w:szCs w:val="28"/>
        </w:rPr>
        <w:t>目     录</w:t>
      </w:r>
      <w:bookmarkEnd w:id="64"/>
      <w:bookmarkEnd w:id="65"/>
      <w:bookmarkEnd w:id="66"/>
      <w:bookmarkEnd w:id="67"/>
      <w:bookmarkEnd w:id="68"/>
      <w:bookmarkEnd w:id="69"/>
      <w:bookmarkEnd w:id="70"/>
      <w:bookmarkEnd w:id="71"/>
      <w:bookmarkEnd w:id="72"/>
    </w:p>
    <w:p w14:paraId="1CBFFCEA">
      <w:pPr>
        <w:spacing w:beforeLines="0" w:afterLines="0" w:line="440" w:lineRule="exact"/>
        <w:rPr>
          <w:rFonts w:hint="default" w:ascii="Times New Roman" w:hAnsi="Times New Roman" w:eastAsia="黑体"/>
          <w:color w:val="auto"/>
          <w:sz w:val="20"/>
          <w:szCs w:val="20"/>
        </w:rPr>
      </w:pPr>
    </w:p>
    <w:p w14:paraId="02944B2C">
      <w:pPr>
        <w:spacing w:beforeLines="0" w:afterLines="0" w:line="440" w:lineRule="exact"/>
        <w:ind w:left="1619" w:leftChars="771"/>
        <w:rPr>
          <w:rFonts w:hint="default" w:ascii="Times New Roman" w:hAnsi="Times New Roman" w:eastAsia="黑体"/>
          <w:color w:val="auto"/>
          <w:sz w:val="24"/>
          <w:szCs w:val="24"/>
        </w:rPr>
      </w:pPr>
      <w:bookmarkStart w:id="83" w:name="_Toc23368_WPSOffice_Level1"/>
      <w:bookmarkStart w:id="84" w:name="_Toc11424_WPSOffice_Level1"/>
      <w:bookmarkStart w:id="85" w:name="_Toc30529_WPSOffice_Level1"/>
      <w:bookmarkStart w:id="86" w:name="_Toc9021_WPSOffice_Level1"/>
      <w:bookmarkStart w:id="87" w:name="_Toc12670_WPSOffice_Level1"/>
      <w:bookmarkStart w:id="88" w:name="_Toc6353_WPSOffice_Level1"/>
      <w:bookmarkStart w:id="89" w:name="_Toc26987_WPSOffice_Level1"/>
      <w:r>
        <w:rPr>
          <w:rFonts w:hint="eastAsia" w:ascii="Times New Roman" w:hAnsi="Times New Roman" w:eastAsia="黑体"/>
          <w:color w:val="auto"/>
          <w:sz w:val="24"/>
          <w:szCs w:val="24"/>
        </w:rPr>
        <w:t>一、报价函</w:t>
      </w:r>
      <w:bookmarkEnd w:id="83"/>
      <w:bookmarkEnd w:id="84"/>
      <w:bookmarkEnd w:id="85"/>
      <w:bookmarkEnd w:id="86"/>
      <w:bookmarkEnd w:id="87"/>
      <w:bookmarkEnd w:id="88"/>
      <w:bookmarkEnd w:id="89"/>
    </w:p>
    <w:p w14:paraId="60A3B342">
      <w:pPr>
        <w:spacing w:beforeLines="0" w:afterLines="0" w:line="440" w:lineRule="exact"/>
        <w:ind w:left="1619" w:leftChars="771"/>
        <w:rPr>
          <w:rFonts w:hint="default" w:ascii="Times New Roman" w:hAnsi="Times New Roman" w:eastAsia="黑体"/>
          <w:color w:val="auto"/>
          <w:sz w:val="24"/>
          <w:szCs w:val="24"/>
        </w:rPr>
      </w:pPr>
      <w:bookmarkStart w:id="90" w:name="_Toc21229_WPSOffice_Level1"/>
      <w:bookmarkStart w:id="91" w:name="_Toc32729_WPSOffice_Level1"/>
      <w:bookmarkStart w:id="92" w:name="_Toc14150_WPSOffice_Level1"/>
      <w:bookmarkStart w:id="93" w:name="_Toc5317_WPSOffice_Level1"/>
      <w:bookmarkStart w:id="94" w:name="_Toc26052_WPSOffice_Level1"/>
      <w:bookmarkStart w:id="95" w:name="_Toc3742_WPSOffice_Level1"/>
      <w:bookmarkStart w:id="96" w:name="_Toc31927_WPSOffice_Level1"/>
      <w:r>
        <w:rPr>
          <w:rFonts w:hint="eastAsia" w:ascii="Times New Roman" w:hAnsi="Times New Roman" w:eastAsia="黑体"/>
          <w:color w:val="auto"/>
          <w:sz w:val="24"/>
          <w:szCs w:val="24"/>
        </w:rPr>
        <w:t>二、</w:t>
      </w:r>
      <w:bookmarkEnd w:id="90"/>
      <w:bookmarkEnd w:id="91"/>
      <w:bookmarkEnd w:id="92"/>
      <w:bookmarkEnd w:id="93"/>
      <w:bookmarkEnd w:id="94"/>
      <w:bookmarkEnd w:id="95"/>
      <w:bookmarkEnd w:id="96"/>
      <w:r>
        <w:rPr>
          <w:rFonts w:hint="eastAsia" w:ascii="Times New Roman" w:hAnsi="Times New Roman" w:eastAsia="黑体"/>
          <w:color w:val="auto"/>
          <w:sz w:val="24"/>
          <w:szCs w:val="24"/>
        </w:rPr>
        <w:t>法定代表人身份证明及授权委托书</w:t>
      </w:r>
    </w:p>
    <w:p w14:paraId="0316D579">
      <w:pPr>
        <w:spacing w:beforeLines="0" w:afterLines="0" w:line="440" w:lineRule="exact"/>
        <w:ind w:left="1619" w:leftChars="771"/>
        <w:rPr>
          <w:rFonts w:hint="default" w:ascii="Times New Roman" w:hAnsi="Times New Roman" w:eastAsia="黑体"/>
          <w:color w:val="auto"/>
          <w:sz w:val="24"/>
          <w:szCs w:val="24"/>
        </w:rPr>
      </w:pPr>
      <w:bookmarkStart w:id="97" w:name="_Toc29085_WPSOffice_Level1"/>
      <w:bookmarkStart w:id="98" w:name="_Toc25965_WPSOffice_Level1"/>
      <w:bookmarkStart w:id="99" w:name="_Toc23356_WPSOffice_Level1"/>
      <w:bookmarkStart w:id="100" w:name="_Toc11822_WPSOffice_Level1"/>
      <w:bookmarkStart w:id="101" w:name="_Toc25652_WPSOffice_Level1"/>
      <w:bookmarkStart w:id="102" w:name="_Toc4728_WPSOffice_Level1"/>
      <w:bookmarkStart w:id="103" w:name="_Toc20535_WPSOffice_Level1"/>
      <w:r>
        <w:rPr>
          <w:rFonts w:hint="eastAsia" w:ascii="Times New Roman" w:hAnsi="Times New Roman" w:eastAsia="黑体"/>
          <w:color w:val="auto"/>
          <w:sz w:val="24"/>
          <w:szCs w:val="24"/>
        </w:rPr>
        <w:t>三、已标价的报</w:t>
      </w:r>
      <w:bookmarkEnd w:id="97"/>
      <w:r>
        <w:rPr>
          <w:rFonts w:hint="eastAsia" w:ascii="Times New Roman" w:hAnsi="Times New Roman" w:eastAsia="黑体"/>
          <w:color w:val="auto"/>
          <w:sz w:val="24"/>
          <w:szCs w:val="24"/>
        </w:rPr>
        <w:t>价清单</w:t>
      </w:r>
      <w:bookmarkEnd w:id="98"/>
      <w:bookmarkEnd w:id="99"/>
      <w:bookmarkEnd w:id="100"/>
      <w:bookmarkEnd w:id="101"/>
      <w:bookmarkEnd w:id="102"/>
      <w:bookmarkEnd w:id="103"/>
    </w:p>
    <w:p w14:paraId="2CA49803">
      <w:pPr>
        <w:spacing w:beforeLines="0" w:afterLines="0" w:line="440" w:lineRule="exact"/>
        <w:ind w:left="1619" w:leftChars="771"/>
        <w:rPr>
          <w:rFonts w:hint="default" w:ascii="Times New Roman" w:hAnsi="Times New Roman" w:eastAsia="黑体"/>
          <w:color w:val="auto"/>
          <w:sz w:val="24"/>
          <w:szCs w:val="24"/>
        </w:rPr>
      </w:pPr>
      <w:bookmarkStart w:id="104" w:name="_Toc7286_WPSOffice_Level1"/>
      <w:bookmarkStart w:id="105" w:name="_Toc18964_WPSOffice_Level1"/>
      <w:bookmarkStart w:id="106" w:name="_Toc10608_WPSOffice_Level1"/>
      <w:bookmarkStart w:id="107" w:name="_Toc7453_WPSOffice_Level1"/>
      <w:bookmarkStart w:id="108" w:name="_Toc23744_WPSOffice_Level1"/>
      <w:bookmarkStart w:id="109" w:name="_Toc24870_WPSOffice_Level1"/>
      <w:bookmarkStart w:id="110" w:name="_Toc27790_WPSOffice_Level1"/>
      <w:r>
        <w:rPr>
          <w:rFonts w:hint="eastAsia" w:ascii="Times New Roman" w:hAnsi="Times New Roman" w:eastAsia="黑体"/>
          <w:color w:val="auto"/>
          <w:sz w:val="24"/>
          <w:szCs w:val="24"/>
        </w:rPr>
        <w:t>四、</w:t>
      </w:r>
      <w:bookmarkEnd w:id="104"/>
      <w:bookmarkEnd w:id="105"/>
      <w:bookmarkEnd w:id="106"/>
      <w:bookmarkEnd w:id="107"/>
      <w:r>
        <w:rPr>
          <w:rFonts w:hint="eastAsia" w:ascii="Times New Roman" w:hAnsi="Times New Roman" w:eastAsia="黑体"/>
          <w:color w:val="auto"/>
          <w:sz w:val="24"/>
          <w:szCs w:val="24"/>
        </w:rPr>
        <w:t>供应商基本情况</w:t>
      </w:r>
      <w:bookmarkEnd w:id="108"/>
      <w:bookmarkEnd w:id="109"/>
      <w:bookmarkEnd w:id="110"/>
    </w:p>
    <w:p w14:paraId="30346BE6">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五、近年类似业绩情况</w:t>
      </w:r>
    </w:p>
    <w:p w14:paraId="12202D70">
      <w:pPr>
        <w:spacing w:beforeLines="0" w:afterLines="0" w:line="440" w:lineRule="exact"/>
        <w:ind w:left="1619" w:leftChars="771"/>
        <w:rPr>
          <w:rFonts w:hint="default" w:ascii="Times New Roman" w:hAnsi="Times New Roman" w:eastAsia="黑体"/>
          <w:color w:val="auto"/>
          <w:sz w:val="24"/>
          <w:szCs w:val="24"/>
        </w:rPr>
      </w:pPr>
      <w:bookmarkStart w:id="111" w:name="_Toc8423_WPSOffice_Level1"/>
      <w:bookmarkStart w:id="112" w:name="_Toc16988_WPSOffice_Level1"/>
      <w:bookmarkStart w:id="113" w:name="_Toc5885_WPSOffice_Level1"/>
      <w:bookmarkStart w:id="114" w:name="_Toc21092_WPSOffice_Level1"/>
      <w:r>
        <w:rPr>
          <w:rFonts w:hint="eastAsia" w:ascii="Times New Roman" w:hAnsi="Times New Roman" w:eastAsia="黑体"/>
          <w:color w:val="auto"/>
          <w:sz w:val="24"/>
          <w:szCs w:val="24"/>
        </w:rPr>
        <w:t>六、</w:t>
      </w:r>
      <w:bookmarkEnd w:id="111"/>
      <w:bookmarkEnd w:id="112"/>
      <w:bookmarkEnd w:id="113"/>
      <w:bookmarkEnd w:id="114"/>
      <w:r>
        <w:rPr>
          <w:rFonts w:hint="eastAsia" w:ascii="Times New Roman" w:hAnsi="Times New Roman" w:eastAsia="黑体"/>
          <w:color w:val="auto"/>
          <w:sz w:val="24"/>
          <w:szCs w:val="24"/>
        </w:rPr>
        <w:t>信誉情况</w:t>
      </w:r>
    </w:p>
    <w:p w14:paraId="741F8A3F">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七、其它材料</w:t>
      </w:r>
    </w:p>
    <w:p w14:paraId="389FF729">
      <w:pPr>
        <w:spacing w:beforeLines="0" w:afterLines="0" w:line="440" w:lineRule="exact"/>
        <w:ind w:left="1619" w:leftChars="771"/>
        <w:rPr>
          <w:rFonts w:hint="default" w:ascii="Times New Roman" w:hAnsi="Times New Roman" w:eastAsia="黑体"/>
          <w:color w:val="auto"/>
          <w:sz w:val="24"/>
          <w:szCs w:val="24"/>
        </w:rPr>
      </w:pPr>
    </w:p>
    <w:p w14:paraId="2B39C1D2">
      <w:pPr>
        <w:spacing w:beforeLines="0" w:afterLines="0" w:line="440" w:lineRule="exact"/>
        <w:ind w:left="1619" w:leftChars="771"/>
        <w:rPr>
          <w:rFonts w:hint="default" w:ascii="Times New Roman" w:hAnsi="Times New Roman" w:eastAsia="黑体"/>
          <w:color w:val="auto"/>
          <w:sz w:val="24"/>
          <w:szCs w:val="24"/>
        </w:rPr>
      </w:pPr>
    </w:p>
    <w:p w14:paraId="1CEC6C31">
      <w:pPr>
        <w:spacing w:beforeLines="0" w:afterLines="0" w:line="440" w:lineRule="exact"/>
        <w:rPr>
          <w:rFonts w:hint="default" w:ascii="Times New Roman" w:hAnsi="Times New Roman" w:eastAsia="黑体"/>
          <w:color w:val="auto"/>
          <w:sz w:val="28"/>
          <w:szCs w:val="28"/>
        </w:rPr>
      </w:pPr>
      <w:r>
        <w:rPr>
          <w:rFonts w:hint="default" w:ascii="Times New Roman" w:hAnsi="Times New Roman" w:eastAsia="黑体"/>
          <w:color w:val="auto"/>
          <w:sz w:val="20"/>
          <w:szCs w:val="20"/>
        </w:rPr>
        <w:br w:type="page"/>
      </w:r>
      <w:bookmarkStart w:id="115" w:name="_Toc27336_WPSOffice_Level1"/>
      <w:bookmarkStart w:id="116" w:name="_Toc29334_WPSOffice_Level1"/>
    </w:p>
    <w:p w14:paraId="764F8061">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一、报价函</w:t>
      </w:r>
      <w:bookmarkEnd w:id="115"/>
      <w:bookmarkEnd w:id="116"/>
    </w:p>
    <w:p w14:paraId="102E347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0194473E">
      <w:pPr>
        <w:spacing w:beforeLines="0" w:afterLines="0" w:line="440" w:lineRule="exact"/>
        <w:rPr>
          <w:rFonts w:hint="default" w:ascii="Times New Roman" w:hAnsi="Times New Roman" w:eastAsia="Times New Roman"/>
          <w:color w:val="auto"/>
          <w:sz w:val="24"/>
          <w:szCs w:val="24"/>
        </w:rPr>
      </w:pPr>
      <w:r>
        <w:rPr>
          <w:rFonts w:hint="eastAsia" w:ascii="Times New Roman" w:hAnsi="Times New Roman"/>
          <w:color w:val="auto"/>
          <w:sz w:val="24"/>
          <w:szCs w:val="24"/>
          <w:u w:val="single"/>
        </w:rPr>
        <w:t>安徽省经工物资有限公司</w:t>
      </w:r>
      <w:r>
        <w:rPr>
          <w:rFonts w:hint="eastAsia" w:ascii="Times New Roman" w:hAnsi="Times New Roman"/>
          <w:color w:val="auto"/>
          <w:sz w:val="24"/>
          <w:szCs w:val="24"/>
        </w:rPr>
        <w:t>：</w:t>
      </w:r>
    </w:p>
    <w:p w14:paraId="576D1A17">
      <w:pPr>
        <w:pStyle w:val="8"/>
        <w:spacing w:beforeLines="0" w:afterLines="0"/>
        <w:rPr>
          <w:rFonts w:hint="default"/>
          <w:color w:val="auto"/>
          <w:sz w:val="21"/>
          <w:szCs w:val="24"/>
        </w:rPr>
      </w:pPr>
    </w:p>
    <w:p w14:paraId="6798742E">
      <w:pPr>
        <w:widowControl/>
        <w:spacing w:beforeLines="0" w:afterLines="0"/>
        <w:ind w:firstLine="480" w:firstLineChars="200"/>
        <w:jc w:val="left"/>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．我方已仔细研究了</w:t>
      </w:r>
      <w:r>
        <w:rPr>
          <w:rFonts w:hint="eastAsia" w:ascii="Times New Roman" w:hAnsi="Times New Roman"/>
          <w:b w:val="0"/>
          <w:bCs w:val="0"/>
          <w:color w:val="000000" w:themeColor="text1"/>
          <w:sz w:val="24"/>
          <w:szCs w:val="24"/>
          <w:u w:val="single"/>
          <w14:textFill>
            <w14:solidFill>
              <w14:schemeClr w14:val="tx1"/>
            </w14:solidFill>
          </w14:textFill>
        </w:rPr>
        <w:t>安徽省经工物资有限公司</w:t>
      </w:r>
      <w:r>
        <w:rPr>
          <w:rFonts w:hint="eastAsia" w:ascii="Times New Roman" w:hAnsi="Times New Roman"/>
          <w:b w:val="0"/>
          <w:bCs w:val="0"/>
          <w:color w:val="000000" w:themeColor="text1"/>
          <w:sz w:val="24"/>
          <w:szCs w:val="24"/>
          <w:u w:val="single"/>
          <w:lang w:eastAsia="zh-CN"/>
          <w14:textFill>
            <w14:solidFill>
              <w14:schemeClr w14:val="tx1"/>
            </w14:solidFill>
          </w14:textFill>
        </w:rPr>
        <w:t>蒸压加气混凝土砌块</w:t>
      </w:r>
      <w:r>
        <w:rPr>
          <w:rFonts w:hint="eastAsia" w:ascii="Times New Roman" w:hAnsi="Times New Roman"/>
          <w:b w:val="0"/>
          <w:bCs w:val="0"/>
          <w:color w:val="000000" w:themeColor="text1"/>
          <w:sz w:val="24"/>
          <w:szCs w:val="24"/>
          <w:u w:val="single"/>
          <w14:textFill>
            <w14:solidFill>
              <w14:schemeClr w14:val="tx1"/>
            </w14:solidFill>
          </w14:textFill>
        </w:rPr>
        <w:t>年度采购项目</w:t>
      </w:r>
      <w:r>
        <w:rPr>
          <w:rFonts w:hint="default" w:ascii="Times New Roman" w:hAnsi="Times New Roman" w:eastAsia="Times New Roman"/>
          <w:color w:val="auto"/>
          <w:sz w:val="24"/>
          <w:szCs w:val="24"/>
        </w:rPr>
        <w:t>(</w:t>
      </w:r>
      <w:r>
        <w:rPr>
          <w:rFonts w:hint="eastAsia" w:ascii="Times New Roman" w:hAnsi="Times New Roman"/>
          <w:color w:val="auto"/>
          <w:sz w:val="24"/>
          <w:szCs w:val="24"/>
        </w:rPr>
        <w:t>项目名称)</w:t>
      </w:r>
      <w:r>
        <w:rPr>
          <w:rFonts w:hint="eastAsia" w:ascii="Times New Roman" w:hAnsi="Times New Roman"/>
          <w:color w:val="auto"/>
          <w:sz w:val="24"/>
          <w:szCs w:val="24"/>
          <w:lang w:val="en-US" w:eastAsia="zh-CN"/>
        </w:rPr>
        <w:t xml:space="preserve"> </w:t>
      </w:r>
      <w:r>
        <w:rPr>
          <w:rFonts w:hint="eastAsia" w:ascii="Times New Roman" w:hAnsi="Times New Roman"/>
          <w:color w:val="auto"/>
          <w:sz w:val="24"/>
          <w:szCs w:val="24"/>
        </w:rPr>
        <w:t>采购文件的全部内容（包括工程量清单和施工图纸及采购文件中所述的各种因素），愿意以人民币（大写）</w:t>
      </w:r>
      <w:r>
        <w:rPr>
          <w:rFonts w:hint="eastAsia" w:ascii="Times New Roman" w:hAnsi="Times New Roman"/>
          <w:color w:val="auto"/>
          <w:sz w:val="24"/>
          <w:szCs w:val="24"/>
          <w:u w:val="single"/>
        </w:rPr>
        <w:t xml:space="preserve">      </w:t>
      </w:r>
      <w:r>
        <w:rPr>
          <w:rFonts w:hint="eastAsia" w:ascii="Times New Roman" w:hAnsi="Times New Roman"/>
          <w:color w:val="auto"/>
          <w:sz w:val="24"/>
          <w:szCs w:val="24"/>
        </w:rPr>
        <w:t>（</w:t>
      </w:r>
      <w:r>
        <w:rPr>
          <w:rFonts w:hint="default" w:ascii="Times New Roman" w:hAnsi="Times New Roman" w:eastAsia="Times New Roman"/>
          <w:color w:val="auto"/>
          <w:sz w:val="24"/>
          <w:szCs w:val="24"/>
        </w:rPr>
        <w:t>¥</w:t>
      </w:r>
      <w:r>
        <w:rPr>
          <w:rFonts w:hint="eastAsia" w:ascii="Times New Roman" w:hAnsi="Times New Roman"/>
          <w:color w:val="auto"/>
          <w:sz w:val="24"/>
          <w:szCs w:val="24"/>
          <w:u w:val="single"/>
        </w:rPr>
        <w:t xml:space="preserve">     </w:t>
      </w:r>
      <w:r>
        <w:rPr>
          <w:rFonts w:hint="default" w:ascii="Times New Roman" w:hAnsi="Times New Roman" w:eastAsia="Times New Roman"/>
          <w:color w:val="auto"/>
          <w:sz w:val="24"/>
          <w:szCs w:val="24"/>
          <w:u w:val="single"/>
        </w:rPr>
        <w:t xml:space="preserve"> </w:t>
      </w:r>
      <w:r>
        <w:rPr>
          <w:rFonts w:hint="eastAsia" w:ascii="Times New Roman" w:hAnsi="Times New Roman"/>
          <w:color w:val="auto"/>
          <w:sz w:val="24"/>
          <w:szCs w:val="24"/>
        </w:rPr>
        <w:t>）的响应总报价提供采购文件标明的货物要求、技术服务和质保期服务措施，并按合同约定履行义务。</w:t>
      </w:r>
    </w:p>
    <w:p w14:paraId="1929C82B">
      <w:pPr>
        <w:spacing w:beforeLines="0" w:afterLines="0" w:line="400" w:lineRule="exact"/>
        <w:ind w:firstLine="480" w:firstLineChars="200"/>
        <w:rPr>
          <w:rFonts w:hint="eastAsia" w:ascii="Times New Roman" w:hAnsi="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．我方承诺在响应有效期内不修改、撤销响应文件。</w:t>
      </w:r>
    </w:p>
    <w:p w14:paraId="28A599C3">
      <w:pPr>
        <w:spacing w:beforeLines="0" w:afterLines="0" w:line="400" w:lineRule="exact"/>
        <w:ind w:firstLine="480" w:firstLineChars="200"/>
        <w:rPr>
          <w:rFonts w:hint="default" w:ascii="Times New Roman" w:hAnsi="Times New Roman"/>
          <w:color w:val="auto"/>
          <w:sz w:val="24"/>
          <w:szCs w:val="24"/>
        </w:rPr>
      </w:pPr>
      <w:r>
        <w:rPr>
          <w:rFonts w:hint="eastAsia" w:ascii="Times New Roman" w:hAnsi="Times New Roman"/>
          <w:color w:val="auto"/>
          <w:sz w:val="24"/>
          <w:szCs w:val="24"/>
        </w:rPr>
        <w:t>3.材料质量：</w:t>
      </w:r>
      <w:r>
        <w:rPr>
          <w:rFonts w:hint="eastAsia" w:ascii="Times New Roman" w:hAnsi="Times New Roman"/>
          <w:color w:val="auto"/>
          <w:sz w:val="24"/>
          <w:szCs w:val="24"/>
          <w:u w:val="single"/>
        </w:rPr>
        <w:t>响应采购文件要求</w:t>
      </w:r>
      <w:r>
        <w:rPr>
          <w:rFonts w:hint="eastAsia" w:ascii="Times New Roman" w:hAnsi="Times New Roman"/>
          <w:color w:val="auto"/>
          <w:sz w:val="24"/>
          <w:szCs w:val="24"/>
        </w:rPr>
        <w:t>；交货期：</w:t>
      </w:r>
      <w:r>
        <w:rPr>
          <w:rFonts w:hint="eastAsia" w:ascii="Times New Roman" w:hAnsi="Times New Roman"/>
          <w:color w:val="auto"/>
          <w:sz w:val="24"/>
          <w:szCs w:val="24"/>
          <w:u w:val="single"/>
        </w:rPr>
        <w:t>响应采购文件要求。</w:t>
      </w:r>
    </w:p>
    <w:p w14:paraId="105F3C5E">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4．如我方成交：</w:t>
      </w:r>
    </w:p>
    <w:p w14:paraId="6BA04CD0">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我方承诺在收到成交通知书后，在成交通知书规定的期限内与你方签订合同。</w:t>
      </w:r>
    </w:p>
    <w:p w14:paraId="1AB527B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我方承诺按照采购文件规定向你方递交履约担保。</w:t>
      </w:r>
    </w:p>
    <w:p w14:paraId="4E82127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(3)</w:t>
      </w:r>
      <w:r>
        <w:rPr>
          <w:rFonts w:hint="eastAsia" w:ascii="Times New Roman" w:hAnsi="Times New Roman"/>
          <w:color w:val="auto"/>
          <w:sz w:val="24"/>
          <w:szCs w:val="24"/>
        </w:rPr>
        <w:t>我方承诺在合同约定的期限内完成全部合同任务。</w:t>
      </w:r>
    </w:p>
    <w:p w14:paraId="096850B3">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5．我方在此声明，所递交的响应文件及有关资料内容完整、真实和准确。</w:t>
      </w:r>
    </w:p>
    <w:p w14:paraId="1987D0AA">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6．在合同协议书正式签署生效之前，本响应函连同你方的成交通知书将构成我们双方之间共同遵守的文件，对双方具有约束力。</w:t>
      </w:r>
    </w:p>
    <w:p w14:paraId="032D65D4">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7．我方已按采购文件要求详细审核并确认全部采购文件及有关附件，充分理解采购价格不得低于企业个别成本有关规定。我方经成本核算，所填报的响应报价不低于企业个别成本。</w:t>
      </w:r>
    </w:p>
    <w:p w14:paraId="0DE2883F">
      <w:pPr>
        <w:spacing w:beforeLines="0" w:afterLines="0" w:line="400" w:lineRule="exact"/>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8.____/____（其他补充说明）。</w:t>
      </w:r>
    </w:p>
    <w:p w14:paraId="6F1849EA">
      <w:pPr>
        <w:pStyle w:val="8"/>
        <w:spacing w:beforeLines="0" w:afterLines="0"/>
        <w:rPr>
          <w:rFonts w:hint="eastAsia" w:ascii="Times New Roman" w:hAnsi="Times New Roman"/>
          <w:color w:val="auto"/>
          <w:sz w:val="24"/>
          <w:szCs w:val="24"/>
          <w:highlight w:val="yellow"/>
        </w:rPr>
      </w:pPr>
    </w:p>
    <w:p w14:paraId="7D24F392">
      <w:pPr>
        <w:pStyle w:val="8"/>
        <w:tabs>
          <w:tab w:val="left" w:pos="6379"/>
        </w:tabs>
        <w:spacing w:line="480" w:lineRule="exact"/>
        <w:rPr>
          <w:rFonts w:hint="eastAsia" w:ascii="宋体" w:hAnsi="宋体" w:cs="宋体"/>
          <w:color w:val="auto"/>
          <w:sz w:val="24"/>
          <w:szCs w:val="24"/>
        </w:rPr>
      </w:pPr>
    </w:p>
    <w:p w14:paraId="38E07962">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供  应  商 ：</w:t>
      </w:r>
      <w:bookmarkStart w:id="117" w:name="_Hlk122530524"/>
      <w:r>
        <w:rPr>
          <w:rFonts w:hint="eastAsia" w:ascii="宋体" w:hAnsi="宋体" w:cs="宋体"/>
          <w:color w:val="auto"/>
          <w:sz w:val="24"/>
          <w:szCs w:val="24"/>
          <w:u w:val="single"/>
        </w:rPr>
        <w:t xml:space="preserve">           </w:t>
      </w:r>
      <w:bookmarkEnd w:id="117"/>
      <w:r>
        <w:rPr>
          <w:rFonts w:hint="eastAsia" w:ascii="宋体" w:hAnsi="宋体" w:cs="宋体"/>
          <w:color w:val="auto"/>
          <w:sz w:val="24"/>
          <w:szCs w:val="24"/>
        </w:rPr>
        <w:t>（盖单位公章）</w:t>
      </w:r>
    </w:p>
    <w:p w14:paraId="00C59364">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A15E6CF">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日      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6BE232BC">
      <w:pPr>
        <w:rPr>
          <w:rFonts w:hint="default" w:ascii="Times New Roman" w:hAnsi="Times New Roman" w:eastAsia="黑体"/>
          <w:color w:val="auto"/>
          <w:sz w:val="28"/>
          <w:szCs w:val="28"/>
        </w:rPr>
      </w:pPr>
      <w:bookmarkStart w:id="118" w:name="_Toc29236_WPSOffice_Level1"/>
      <w:bookmarkStart w:id="119" w:name="_Toc21389_WPSOffice_Level1"/>
      <w:r>
        <w:rPr>
          <w:rFonts w:hint="eastAsia" w:ascii="Times New Roman" w:hAnsi="Times New Roman" w:eastAsia="黑体"/>
          <w:color w:val="auto"/>
          <w:sz w:val="28"/>
          <w:szCs w:val="28"/>
        </w:rPr>
        <w:br w:type="page"/>
      </w:r>
    </w:p>
    <w:p w14:paraId="11326C99">
      <w:pPr>
        <w:numPr>
          <w:ilvl w:val="0"/>
          <w:numId w:val="6"/>
        </w:num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法定代表人身份证明及授权委托书</w:t>
      </w:r>
    </w:p>
    <w:p w14:paraId="2111DF82">
      <w:pPr>
        <w:numPr>
          <w:ilvl w:val="0"/>
          <w:numId w:val="0"/>
        </w:numPr>
        <w:spacing w:beforeLines="0" w:afterLines="0" w:line="440" w:lineRule="exact"/>
        <w:outlineLvl w:val="9"/>
        <w:rPr>
          <w:rFonts w:hint="default" w:ascii="Times New Roman" w:hAnsi="Times New Roman" w:eastAsia="黑体"/>
          <w:color w:val="auto"/>
          <w:sz w:val="28"/>
          <w:szCs w:val="28"/>
        </w:rPr>
      </w:pPr>
    </w:p>
    <w:p w14:paraId="2C505E7D">
      <w:pPr>
        <w:spacing w:beforeLines="0" w:afterLines="0" w:line="440" w:lineRule="exact"/>
        <w:jc w:val="center"/>
        <w:rPr>
          <w:rFonts w:hint="default" w:ascii="Times New Roman" w:hAnsi="Times New Roman"/>
          <w:color w:val="auto"/>
          <w:sz w:val="28"/>
          <w:szCs w:val="28"/>
        </w:rPr>
      </w:pPr>
      <w:r>
        <w:rPr>
          <w:rFonts w:hint="default" w:ascii="Times New Roman" w:hAnsi="Times New Roman" w:eastAsia="黑体"/>
          <w:color w:val="auto"/>
          <w:sz w:val="28"/>
          <w:szCs w:val="28"/>
          <w:lang w:bidi="ar"/>
        </w:rPr>
        <w:t xml:space="preserve">2-1 </w:t>
      </w:r>
      <w:r>
        <w:rPr>
          <w:rFonts w:hint="eastAsia" w:ascii="黑体" w:hAnsi="宋体" w:eastAsia="黑体" w:cs="黑体"/>
          <w:color w:val="auto"/>
          <w:sz w:val="28"/>
          <w:szCs w:val="28"/>
          <w:lang w:bidi="ar"/>
        </w:rPr>
        <w:t>法定代表人身份证明</w:t>
      </w:r>
    </w:p>
    <w:p w14:paraId="3246747F">
      <w:pPr>
        <w:spacing w:beforeLines="0" w:afterLines="0" w:line="440" w:lineRule="exact"/>
        <w:rPr>
          <w:rFonts w:hint="default" w:ascii="Times New Roman" w:hAnsi="Times New Roman"/>
          <w:color w:val="auto"/>
          <w:sz w:val="20"/>
          <w:szCs w:val="20"/>
        </w:rPr>
      </w:pPr>
    </w:p>
    <w:p w14:paraId="5C28CAF7">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供应商名称：</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048DC26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单位性质：</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6BFE6101">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地址：</w:t>
      </w:r>
      <w:r>
        <w:rPr>
          <w:rFonts w:hint="default" w:ascii="Times New Roman" w:hAnsi="Times New Roman"/>
          <w:color w:val="auto"/>
          <w:sz w:val="24"/>
          <w:szCs w:val="24"/>
          <w:u w:val="single"/>
          <w:lang w:bidi="ar"/>
        </w:rPr>
        <w:t xml:space="preserve">                                   </w:t>
      </w:r>
    </w:p>
    <w:p w14:paraId="3140587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成立时间：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p>
    <w:p w14:paraId="0AA93D4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经营期限：</w:t>
      </w:r>
      <w:r>
        <w:rPr>
          <w:rFonts w:hint="default" w:ascii="Times New Roman" w:hAnsi="Times New Roman"/>
          <w:color w:val="auto"/>
          <w:sz w:val="24"/>
          <w:szCs w:val="24"/>
          <w:u w:val="single"/>
          <w:lang w:bidi="ar"/>
        </w:rPr>
        <w:t xml:space="preserve">                               </w:t>
      </w:r>
    </w:p>
    <w:p w14:paraId="5901B3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姓名：</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性别：</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年龄：</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职务：</w:t>
      </w:r>
      <w:r>
        <w:rPr>
          <w:rFonts w:hint="default" w:ascii="Times New Roman" w:hAnsi="Times New Roman"/>
          <w:color w:val="auto"/>
          <w:sz w:val="24"/>
          <w:szCs w:val="24"/>
          <w:u w:val="single"/>
          <w:lang w:bidi="ar"/>
        </w:rPr>
        <w:t xml:space="preserve">        </w:t>
      </w:r>
    </w:p>
    <w:p w14:paraId="704A08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w:t>
      </w:r>
    </w:p>
    <w:p w14:paraId="635EEEEC">
      <w:pPr>
        <w:spacing w:beforeLines="0" w:afterLines="0" w:line="440" w:lineRule="exact"/>
        <w:ind w:firstLine="482" w:firstLineChars="200"/>
        <w:rPr>
          <w:rFonts w:hint="default" w:ascii="Times New Roman" w:hAnsi="Times New Roman"/>
          <w:b/>
          <w:color w:val="auto"/>
          <w:sz w:val="24"/>
          <w:szCs w:val="24"/>
        </w:rPr>
      </w:pPr>
      <w:r>
        <w:rPr>
          <w:rFonts w:hint="eastAsia" w:ascii="宋体" w:hAnsi="宋体" w:cs="宋体"/>
          <w:b/>
          <w:color w:val="auto"/>
          <w:sz w:val="24"/>
          <w:szCs w:val="24"/>
          <w:lang w:bidi="ar"/>
        </w:rPr>
        <w:t>附：法定代表人身份证正反面复印件</w:t>
      </w:r>
    </w:p>
    <w:p w14:paraId="07465974">
      <w:pPr>
        <w:spacing w:beforeLines="0" w:afterLines="0" w:line="440" w:lineRule="exact"/>
        <w:ind w:firstLine="480" w:firstLineChars="200"/>
        <w:rPr>
          <w:rFonts w:hint="default" w:ascii="Times New Roman" w:hAnsi="Times New Roman"/>
          <w:color w:val="auto"/>
          <w:sz w:val="24"/>
          <w:szCs w:val="24"/>
        </w:rPr>
      </w:pPr>
    </w:p>
    <w:p w14:paraId="6B4C5030">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特此证明。</w:t>
      </w:r>
    </w:p>
    <w:p w14:paraId="2054327E">
      <w:pPr>
        <w:spacing w:beforeLines="0" w:afterLines="0" w:line="440" w:lineRule="exact"/>
        <w:rPr>
          <w:rFonts w:hint="default" w:ascii="Times New Roman" w:hAnsi="Times New Roman"/>
          <w:color w:val="auto"/>
          <w:sz w:val="24"/>
          <w:szCs w:val="24"/>
        </w:rPr>
      </w:pPr>
    </w:p>
    <w:p w14:paraId="2121FA1F">
      <w:pPr>
        <w:spacing w:beforeLines="0" w:afterLines="0" w:line="440" w:lineRule="exact"/>
        <w:rPr>
          <w:rFonts w:hint="default" w:ascii="Times New Roman" w:hAnsi="Times New Roman"/>
          <w:color w:val="auto"/>
          <w:sz w:val="24"/>
          <w:szCs w:val="24"/>
        </w:rPr>
      </w:pPr>
    </w:p>
    <w:p w14:paraId="1D25907D">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7F5D9469">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r>
        <w:rPr>
          <w:rFonts w:hint="default" w:ascii="Times New Roman" w:hAnsi="Times New Roman"/>
          <w:color w:val="auto"/>
          <w:sz w:val="24"/>
          <w:szCs w:val="24"/>
          <w:lang w:bidi="ar"/>
        </w:rPr>
        <w:t xml:space="preserve">           </w:t>
      </w:r>
    </w:p>
    <w:p w14:paraId="77BF9B8F">
      <w:pPr>
        <w:rPr>
          <w:rFonts w:hint="eastAsia" w:ascii="Times New Roman" w:hAnsi="Times New Roman" w:eastAsia="黑体"/>
          <w:color w:val="auto"/>
          <w:sz w:val="28"/>
          <w:szCs w:val="28"/>
        </w:rPr>
      </w:pPr>
      <w:r>
        <w:rPr>
          <w:rFonts w:hint="eastAsia" w:ascii="Times New Roman" w:hAnsi="Times New Roman" w:eastAsia="黑体"/>
          <w:color w:val="auto"/>
          <w:sz w:val="28"/>
          <w:szCs w:val="28"/>
        </w:rPr>
        <w:br w:type="page"/>
      </w:r>
    </w:p>
    <w:p w14:paraId="01B3DC28">
      <w:pPr>
        <w:spacing w:beforeLines="0" w:afterLines="0" w:line="440" w:lineRule="exact"/>
        <w:jc w:val="center"/>
        <w:rPr>
          <w:rFonts w:hint="default" w:ascii="Times New Roman" w:hAnsi="Times New Roman" w:eastAsia="黑体"/>
          <w:color w:val="auto"/>
          <w:sz w:val="28"/>
          <w:szCs w:val="28"/>
        </w:rPr>
      </w:pPr>
      <w:r>
        <w:rPr>
          <w:rFonts w:hint="eastAsia" w:ascii="Times New Roman" w:hAnsi="Times New Roman" w:eastAsia="黑体"/>
          <w:color w:val="auto"/>
          <w:sz w:val="28"/>
          <w:szCs w:val="28"/>
        </w:rPr>
        <w:t>2-2授权委托书</w:t>
      </w:r>
      <w:bookmarkEnd w:id="118"/>
      <w:bookmarkEnd w:id="119"/>
    </w:p>
    <w:p w14:paraId="4C0F033F">
      <w:pPr>
        <w:keepNext w:val="0"/>
        <w:keepLines w:val="0"/>
        <w:pageBreakBefore w:val="0"/>
        <w:widowControl w:val="0"/>
        <w:kinsoku/>
        <w:wordWrap/>
        <w:overflowPunct/>
        <w:topLinePunct/>
        <w:autoSpaceDE/>
        <w:autoSpaceDN/>
        <w:bidi w:val="0"/>
        <w:adjustRightInd/>
        <w:snapToGrid/>
        <w:spacing w:beforeLines="0" w:afterLines="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bidi="ar"/>
        </w:rPr>
        <w:t>本人</w:t>
      </w:r>
      <w:r>
        <w:rPr>
          <w:rFonts w:hint="eastAsia" w:asciiTheme="minorEastAsia" w:hAnsiTheme="minorEastAsia" w:eastAsiaTheme="minorEastAsia" w:cstheme="minorEastAsia"/>
          <w:color w:val="auto"/>
          <w:sz w:val="24"/>
          <w:szCs w:val="24"/>
          <w:u w:val="single"/>
          <w:lang w:bidi="ar"/>
        </w:rPr>
        <w:t xml:space="preserve">             </w:t>
      </w:r>
      <w:r>
        <w:rPr>
          <w:rFonts w:hint="eastAsia" w:asciiTheme="minorEastAsia" w:hAnsiTheme="minorEastAsia" w:eastAsiaTheme="minorEastAsia" w:cstheme="minorEastAsia"/>
          <w:color w:val="auto"/>
          <w:sz w:val="24"/>
          <w:szCs w:val="24"/>
          <w:lang w:bidi="ar"/>
        </w:rPr>
        <w:t>(姓名)系</w:t>
      </w:r>
      <w:r>
        <w:rPr>
          <w:rFonts w:hint="eastAsia" w:asciiTheme="minorEastAsia" w:hAnsiTheme="minorEastAsia" w:eastAsiaTheme="minorEastAsia" w:cstheme="minorEastAsia"/>
          <w:color w:val="auto"/>
          <w:sz w:val="24"/>
          <w:szCs w:val="24"/>
          <w:u w:val="single"/>
          <w:lang w:bidi="ar"/>
        </w:rPr>
        <w:t xml:space="preserve">          </w:t>
      </w:r>
      <w:r>
        <w:rPr>
          <w:rFonts w:hint="eastAsia" w:asciiTheme="minorEastAsia" w:hAnsiTheme="minorEastAsia" w:eastAsiaTheme="minorEastAsia" w:cstheme="minorEastAsia"/>
          <w:color w:val="auto"/>
          <w:sz w:val="24"/>
          <w:szCs w:val="24"/>
          <w:lang w:bidi="ar"/>
        </w:rPr>
        <w:t>(供应商名称)的法定代表人，现委托</w:t>
      </w:r>
      <w:r>
        <w:rPr>
          <w:rFonts w:hint="eastAsia" w:asciiTheme="minorEastAsia" w:hAnsiTheme="minorEastAsia" w:eastAsiaTheme="minorEastAsia" w:cstheme="minorEastAsia"/>
          <w:color w:val="auto"/>
          <w:sz w:val="24"/>
          <w:szCs w:val="24"/>
          <w:u w:val="single"/>
          <w:lang w:bidi="ar"/>
        </w:rPr>
        <w:t xml:space="preserve">        </w:t>
      </w:r>
      <w:r>
        <w:rPr>
          <w:rFonts w:hint="eastAsia" w:asciiTheme="minorEastAsia" w:hAnsiTheme="minorEastAsia" w:eastAsiaTheme="minorEastAsia" w:cstheme="minorEastAsia"/>
          <w:color w:val="auto"/>
          <w:sz w:val="24"/>
          <w:szCs w:val="24"/>
          <w:lang w:bidi="ar"/>
        </w:rPr>
        <w:t>(姓名)为我方代理人。代理人根据授权，以我方名义签署、澄清、说明、补正、递交、撤回、修改</w:t>
      </w:r>
      <w:r>
        <w:rPr>
          <w:rFonts w:hint="eastAsia" w:asciiTheme="minorEastAsia" w:hAnsiTheme="minorEastAsia" w:eastAsiaTheme="minorEastAsia" w:cstheme="minorEastAsia"/>
          <w:color w:val="auto"/>
          <w:sz w:val="24"/>
          <w:szCs w:val="24"/>
          <w:u w:val="single"/>
          <w:lang w:val="en-US" w:eastAsia="zh-CN" w:bidi="ar"/>
        </w:rPr>
        <w:t>安徽省经工物资有限公司</w:t>
      </w:r>
      <w:r>
        <w:rPr>
          <w:rFonts w:hint="eastAsia" w:asciiTheme="minorEastAsia" w:hAnsiTheme="minorEastAsia" w:cstheme="minorEastAsia"/>
          <w:color w:val="auto"/>
          <w:sz w:val="24"/>
          <w:szCs w:val="24"/>
          <w:u w:val="single"/>
          <w:lang w:val="en-US" w:eastAsia="zh-CN" w:bidi="ar"/>
        </w:rPr>
        <w:t>蒸压加气混凝土砌块</w:t>
      </w:r>
      <w:r>
        <w:rPr>
          <w:rFonts w:hint="eastAsia" w:asciiTheme="minorEastAsia" w:hAnsiTheme="minorEastAsia" w:eastAsiaTheme="minorEastAsia" w:cstheme="minorEastAsia"/>
          <w:color w:val="auto"/>
          <w:sz w:val="24"/>
          <w:szCs w:val="24"/>
          <w:u w:val="single"/>
          <w:lang w:val="en-US" w:eastAsia="zh-CN" w:bidi="ar"/>
        </w:rPr>
        <w:t>年度采购项目</w:t>
      </w:r>
      <w:r>
        <w:rPr>
          <w:rFonts w:hint="eastAsia" w:asciiTheme="minorEastAsia" w:hAnsiTheme="minorEastAsia" w:eastAsiaTheme="minorEastAsia" w:cstheme="minorEastAsia"/>
          <w:color w:val="auto"/>
          <w:sz w:val="24"/>
          <w:szCs w:val="24"/>
          <w:lang w:bidi="ar"/>
        </w:rPr>
        <w:t>(项目名称)响应文件、签订合同和处理有关事宜，其法律后果由我方承担。</w:t>
      </w:r>
    </w:p>
    <w:p w14:paraId="4106E64F">
      <w:pPr>
        <w:keepNext w:val="0"/>
        <w:keepLines w:val="0"/>
        <w:pageBreakBefore w:val="0"/>
        <w:widowControl w:val="0"/>
        <w:kinsoku/>
        <w:wordWrap/>
        <w:overflowPunct/>
        <w:autoSpaceDE/>
        <w:autoSpaceDN/>
        <w:bidi w:val="0"/>
        <w:adjustRightInd/>
        <w:snapToGrid/>
        <w:spacing w:beforeLines="0" w:afterLines="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bidi="ar"/>
        </w:rPr>
        <w:t>委托期限：</w:t>
      </w:r>
      <w:r>
        <w:rPr>
          <w:rFonts w:hint="eastAsia" w:asciiTheme="minorEastAsia" w:hAnsiTheme="minorEastAsia" w:eastAsiaTheme="minorEastAsia" w:cstheme="minorEastAsia"/>
          <w:color w:val="auto"/>
          <w:sz w:val="24"/>
          <w:szCs w:val="24"/>
          <w:u w:val="single"/>
          <w:lang w:bidi="ar"/>
        </w:rPr>
        <w:t>自授权委托之日起至签订合同之日止</w:t>
      </w:r>
      <w:r>
        <w:rPr>
          <w:rFonts w:hint="eastAsia" w:asciiTheme="minorEastAsia" w:hAnsiTheme="minorEastAsia" w:eastAsiaTheme="minorEastAsia" w:cstheme="minorEastAsia"/>
          <w:color w:val="auto"/>
          <w:sz w:val="24"/>
          <w:szCs w:val="24"/>
          <w:lang w:bidi="ar"/>
        </w:rPr>
        <w:t>。</w:t>
      </w:r>
    </w:p>
    <w:p w14:paraId="1D4E2DBD">
      <w:pPr>
        <w:keepNext w:val="0"/>
        <w:keepLines w:val="0"/>
        <w:pageBreakBefore w:val="0"/>
        <w:widowControl w:val="0"/>
        <w:kinsoku/>
        <w:wordWrap/>
        <w:overflowPunct/>
        <w:autoSpaceDE/>
        <w:autoSpaceDN/>
        <w:bidi w:val="0"/>
        <w:adjustRightInd/>
        <w:snapToGrid/>
        <w:spacing w:beforeLines="0" w:afterLines="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bidi="ar"/>
        </w:rPr>
        <w:t>代理人无转委托权。</w:t>
      </w:r>
    </w:p>
    <w:p w14:paraId="655ED915">
      <w:pPr>
        <w:keepNext w:val="0"/>
        <w:keepLines w:val="0"/>
        <w:pageBreakBefore w:val="0"/>
        <w:widowControl w:val="0"/>
        <w:kinsoku/>
        <w:wordWrap/>
        <w:overflowPunct/>
        <w:autoSpaceDE/>
        <w:autoSpaceDN/>
        <w:bidi w:val="0"/>
        <w:adjustRightInd/>
        <w:snapToGrid/>
        <w:spacing w:beforeLines="0" w:afterLines="0" w:line="440" w:lineRule="exact"/>
        <w:ind w:firstLine="480" w:firstLineChars="20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lang w:bidi="ar"/>
        </w:rPr>
        <w:t>附：</w:t>
      </w:r>
      <w:r>
        <w:rPr>
          <w:rFonts w:hint="eastAsia" w:asciiTheme="minorEastAsia" w:hAnsiTheme="minorEastAsia" w:eastAsiaTheme="minorEastAsia" w:cstheme="minorEastAsia"/>
          <w:b/>
          <w:color w:val="auto"/>
          <w:sz w:val="24"/>
          <w:szCs w:val="24"/>
          <w:lang w:bidi="ar"/>
        </w:rPr>
        <w:t>法定代表人身份证明、委托代理人的身份证正反面复印件</w:t>
      </w:r>
    </w:p>
    <w:p w14:paraId="2856EDBD">
      <w:pPr>
        <w:keepNext w:val="0"/>
        <w:keepLines w:val="0"/>
        <w:pageBreakBefore w:val="0"/>
        <w:widowControl w:val="0"/>
        <w:kinsoku/>
        <w:wordWrap/>
        <w:overflowPunct/>
        <w:autoSpaceDE/>
        <w:autoSpaceDN/>
        <w:bidi w:val="0"/>
        <w:adjustRightInd/>
        <w:snapToGrid/>
        <w:spacing w:beforeLines="0" w:afterLines="0" w:line="440" w:lineRule="exact"/>
        <w:ind w:firstLine="480" w:firstLineChars="200"/>
        <w:textAlignment w:val="auto"/>
        <w:rPr>
          <w:rFonts w:hint="eastAsia" w:asciiTheme="minorEastAsia" w:hAnsiTheme="minorEastAsia" w:eastAsiaTheme="minorEastAsia" w:cstheme="minorEastAsia"/>
          <w:color w:val="auto"/>
          <w:sz w:val="24"/>
          <w:szCs w:val="24"/>
        </w:rPr>
      </w:pPr>
    </w:p>
    <w:p w14:paraId="3C2FE781">
      <w:pPr>
        <w:keepNext w:val="0"/>
        <w:keepLines w:val="0"/>
        <w:pageBreakBefore w:val="0"/>
        <w:widowControl w:val="0"/>
        <w:kinsoku/>
        <w:wordWrap/>
        <w:overflowPunct/>
        <w:autoSpaceDE/>
        <w:autoSpaceDN/>
        <w:bidi w:val="0"/>
        <w:adjustRightInd/>
        <w:snapToGrid/>
        <w:spacing w:beforeLines="0" w:afterLines="0" w:line="440" w:lineRule="exact"/>
        <w:ind w:firstLine="480" w:firstLineChars="200"/>
        <w:textAlignment w:val="auto"/>
        <w:rPr>
          <w:rFonts w:hint="eastAsia" w:asciiTheme="minorEastAsia" w:hAnsiTheme="minorEastAsia" w:eastAsiaTheme="minorEastAsia" w:cstheme="minorEastAsia"/>
          <w:color w:val="auto"/>
          <w:sz w:val="24"/>
          <w:szCs w:val="24"/>
        </w:rPr>
      </w:pPr>
    </w:p>
    <w:p w14:paraId="314D65F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1359F23F">
      <w:pPr>
        <w:spacing w:beforeLines="0" w:afterLines="0" w:line="440" w:lineRule="exact"/>
        <w:rPr>
          <w:rFonts w:hint="default" w:ascii="Times New Roman" w:hAnsi="Times New Roman"/>
          <w:color w:val="auto"/>
          <w:sz w:val="24"/>
          <w:szCs w:val="24"/>
        </w:rPr>
      </w:pPr>
    </w:p>
    <w:p w14:paraId="3D710DD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法定代表人：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签字或法人章</w:t>
      </w:r>
      <w:r>
        <w:rPr>
          <w:rFonts w:hint="default" w:ascii="Times New Roman" w:hAnsi="Times New Roman"/>
          <w:color w:val="auto"/>
          <w:sz w:val="24"/>
          <w:szCs w:val="24"/>
          <w:lang w:bidi="ar"/>
        </w:rPr>
        <w:t>)</w:t>
      </w:r>
    </w:p>
    <w:p w14:paraId="077861E0">
      <w:pPr>
        <w:spacing w:beforeLines="0" w:afterLines="0" w:line="440" w:lineRule="exact"/>
        <w:rPr>
          <w:rFonts w:hint="default" w:ascii="Times New Roman" w:hAnsi="Times New Roman"/>
          <w:color w:val="auto"/>
          <w:sz w:val="24"/>
          <w:szCs w:val="24"/>
        </w:rPr>
      </w:pPr>
    </w:p>
    <w:p w14:paraId="29EC251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2ECC8C86">
      <w:pPr>
        <w:spacing w:beforeLines="0" w:afterLines="0" w:line="440" w:lineRule="exact"/>
        <w:rPr>
          <w:rFonts w:hint="default" w:ascii="Times New Roman" w:hAnsi="Times New Roman"/>
          <w:color w:val="auto"/>
          <w:sz w:val="24"/>
          <w:szCs w:val="24"/>
        </w:rPr>
      </w:pPr>
    </w:p>
    <w:p w14:paraId="636D2F6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委托代理人：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w:t>
      </w:r>
      <w:r>
        <w:rPr>
          <w:rFonts w:hint="default" w:ascii="Times New Roman" w:hAnsi="Times New Roman"/>
          <w:color w:val="auto"/>
          <w:sz w:val="24"/>
          <w:szCs w:val="24"/>
          <w:lang w:bidi="ar"/>
        </w:rPr>
        <w:t>)</w:t>
      </w:r>
    </w:p>
    <w:p w14:paraId="51A0D67B">
      <w:pPr>
        <w:spacing w:beforeLines="0" w:afterLines="0" w:line="440" w:lineRule="exact"/>
        <w:rPr>
          <w:rFonts w:hint="default" w:ascii="Times New Roman" w:hAnsi="Times New Roman"/>
          <w:color w:val="auto"/>
          <w:sz w:val="24"/>
          <w:szCs w:val="24"/>
        </w:rPr>
      </w:pPr>
    </w:p>
    <w:p w14:paraId="322517D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105DAEE7">
      <w:pPr>
        <w:spacing w:beforeLines="0" w:afterLines="0" w:line="440" w:lineRule="exact"/>
        <w:rPr>
          <w:rFonts w:hint="default" w:ascii="Times New Roman" w:hAnsi="Times New Roman"/>
          <w:color w:val="auto"/>
          <w:sz w:val="24"/>
          <w:szCs w:val="24"/>
        </w:rPr>
      </w:pPr>
    </w:p>
    <w:p w14:paraId="0E524641">
      <w:pPr>
        <w:spacing w:beforeLines="0" w:afterLines="0" w:line="440" w:lineRule="exact"/>
        <w:rPr>
          <w:rFonts w:hint="default" w:ascii="Times New Roman" w:hAnsi="Times New Roman"/>
          <w:color w:val="auto"/>
          <w:sz w:val="24"/>
          <w:szCs w:val="24"/>
        </w:rPr>
      </w:pPr>
    </w:p>
    <w:p w14:paraId="4AD6CE0A">
      <w:pPr>
        <w:spacing w:beforeLines="0" w:afterLines="0" w:line="440" w:lineRule="exact"/>
        <w:ind w:firstLine="1800" w:firstLineChars="750"/>
        <w:rPr>
          <w:rFonts w:hint="default" w:ascii="Times New Roman" w:hAnsi="Times New Roman" w:eastAsia="黑体"/>
          <w:color w:val="auto"/>
          <w:sz w:val="24"/>
          <w:szCs w:val="24"/>
        </w:rPr>
      </w:pP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日</w:t>
      </w:r>
    </w:p>
    <w:p w14:paraId="4EDD7F7F">
      <w:pPr>
        <w:spacing w:beforeLines="0" w:afterLines="0" w:line="440" w:lineRule="exact"/>
        <w:rPr>
          <w:rFonts w:hint="default" w:ascii="Times New Roman" w:hAnsi="Times New Roman" w:eastAsia="黑体"/>
          <w:color w:val="auto"/>
          <w:sz w:val="24"/>
          <w:szCs w:val="24"/>
        </w:rPr>
      </w:pPr>
    </w:p>
    <w:p w14:paraId="32069C42">
      <w:pPr>
        <w:spacing w:beforeLines="0" w:afterLines="0" w:line="440" w:lineRule="exact"/>
        <w:rPr>
          <w:rFonts w:hint="default" w:ascii="Times New Roman" w:hAnsi="Times New Roman" w:eastAsia="黑体"/>
          <w:color w:val="auto"/>
          <w:sz w:val="24"/>
          <w:szCs w:val="24"/>
        </w:rPr>
      </w:pPr>
    </w:p>
    <w:p w14:paraId="5D85B2E6">
      <w:pPr>
        <w:spacing w:beforeLines="0" w:afterLines="0" w:line="440" w:lineRule="exact"/>
        <w:rPr>
          <w:rFonts w:hint="eastAsia" w:ascii="Times New Roman" w:hAnsi="Times New Roman" w:eastAsia="黑体"/>
          <w:color w:val="auto"/>
          <w:sz w:val="24"/>
          <w:szCs w:val="24"/>
        </w:rPr>
      </w:pPr>
      <w:r>
        <w:rPr>
          <w:rFonts w:hint="eastAsia" w:ascii="黑体" w:hAnsi="宋体" w:eastAsia="黑体" w:cs="黑体"/>
          <w:color w:val="auto"/>
          <w:sz w:val="24"/>
          <w:szCs w:val="24"/>
          <w:lang w:bidi="ar"/>
        </w:rPr>
        <w:t>注：</w:t>
      </w:r>
    </w:p>
    <w:p w14:paraId="68D5565E">
      <w:pPr>
        <w:spacing w:beforeLines="0" w:afterLines="0" w:line="440" w:lineRule="exact"/>
        <w:rPr>
          <w:rFonts w:hint="default" w:ascii="Times New Roman" w:hAnsi="Times New Roman" w:eastAsia="黑体"/>
          <w:color w:val="auto"/>
          <w:sz w:val="24"/>
          <w:szCs w:val="24"/>
        </w:rPr>
      </w:pPr>
      <w:r>
        <w:rPr>
          <w:rFonts w:hint="eastAsia" w:ascii="黑体" w:hAnsi="宋体" w:eastAsia="黑体" w:cs="黑体"/>
          <w:color w:val="auto"/>
          <w:sz w:val="24"/>
          <w:szCs w:val="24"/>
          <w:lang w:bidi="ar"/>
        </w:rPr>
        <w:t>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活动并签署文件的不需要授权委托书，只需提供法定代表人（单位负责人）身份证明；非法定代表人（单位负责人）参加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活动及签署文件的除提供法定代表人（单位负责人）身份证明外还须提供授权委托书。</w:t>
      </w:r>
      <w:r>
        <w:rPr>
          <w:rFonts w:hint="default" w:ascii="Times New Roman" w:hAnsi="Times New Roman" w:eastAsia="黑体"/>
          <w:color w:val="auto"/>
          <w:sz w:val="24"/>
          <w:szCs w:val="24"/>
          <w:lang w:bidi="ar"/>
        </w:rPr>
        <w:br w:type="page"/>
      </w:r>
    </w:p>
    <w:p w14:paraId="7CA8D523">
      <w:pPr>
        <w:spacing w:beforeLines="0" w:afterLines="0"/>
        <w:rPr>
          <w:rFonts w:hint="default" w:ascii="Times New Roman" w:hAnsi="Times New Roman" w:eastAsia="黑体"/>
          <w:color w:val="auto"/>
          <w:sz w:val="24"/>
          <w:szCs w:val="24"/>
        </w:rPr>
        <w:sectPr>
          <w:headerReference r:id="rId5" w:type="default"/>
          <w:footerReference r:id="rId6" w:type="default"/>
          <w:pgSz w:w="11906" w:h="16838"/>
          <w:pgMar w:top="1440" w:right="1797" w:bottom="1440" w:left="1797" w:header="851" w:footer="992" w:gutter="0"/>
          <w:lnNumType w:countBy="0" w:distance="360"/>
          <w:pgNumType w:fmt="decimal"/>
          <w:cols w:space="720" w:num="1"/>
          <w:docGrid w:type="lines" w:linePitch="312" w:charSpace="0"/>
        </w:sectPr>
      </w:pPr>
    </w:p>
    <w:p w14:paraId="1A7584C2">
      <w:pPr>
        <w:spacing w:beforeLines="0" w:afterLines="0" w:line="440" w:lineRule="exact"/>
        <w:jc w:val="center"/>
        <w:outlineLvl w:val="1"/>
        <w:rPr>
          <w:rFonts w:hint="default" w:ascii="Times New Roman" w:hAnsi="Times New Roman" w:eastAsia="黑体"/>
          <w:color w:val="auto"/>
          <w:sz w:val="28"/>
          <w:szCs w:val="28"/>
        </w:rPr>
      </w:pPr>
      <w:bookmarkStart w:id="120" w:name="_Toc202_WPSOffice_Level1"/>
      <w:bookmarkStart w:id="121" w:name="_Toc1902_WPSOffice_Level1"/>
      <w:r>
        <w:rPr>
          <w:rFonts w:hint="eastAsia" w:ascii="Times New Roman" w:hAnsi="Times New Roman" w:eastAsia="黑体"/>
          <w:color w:val="auto"/>
          <w:sz w:val="28"/>
          <w:szCs w:val="28"/>
        </w:rPr>
        <w:t>三、已标价的报价清单</w:t>
      </w:r>
      <w:bookmarkEnd w:id="120"/>
      <w:bookmarkEnd w:id="121"/>
    </w:p>
    <w:p w14:paraId="0A7EC16A">
      <w:pPr>
        <w:spacing w:beforeLines="0" w:afterLines="0" w:line="440" w:lineRule="exact"/>
        <w:rPr>
          <w:rFonts w:hint="default" w:ascii="Times New Roman" w:hAnsi="Times New Roman" w:eastAsia="黑体"/>
          <w:color w:val="auto"/>
          <w:sz w:val="24"/>
          <w:szCs w:val="24"/>
        </w:rPr>
      </w:pPr>
    </w:p>
    <w:p w14:paraId="65B28563">
      <w:pPr>
        <w:spacing w:beforeLines="0" w:afterLines="0" w:line="440" w:lineRule="exact"/>
        <w:rPr>
          <w:rFonts w:hint="default" w:ascii="Times New Roman" w:hAnsi="Times New Roman" w:eastAsia="黑体"/>
          <w:color w:val="auto"/>
          <w:sz w:val="24"/>
          <w:szCs w:val="24"/>
        </w:rPr>
      </w:pPr>
    </w:p>
    <w:p w14:paraId="158901E7">
      <w:pPr>
        <w:spacing w:beforeLines="0" w:afterLines="0"/>
        <w:rPr>
          <w:rFonts w:hint="eastAsia" w:ascii="Times New Roman" w:hAnsi="Times New Roman" w:eastAsia="黑体"/>
          <w:color w:val="auto"/>
          <w:sz w:val="24"/>
          <w:szCs w:val="24"/>
          <w:highlight w:val="yellow"/>
        </w:rPr>
      </w:pPr>
      <w:r>
        <w:rPr>
          <w:rFonts w:hint="eastAsia" w:ascii="Times New Roman" w:hAnsi="Times New Roman" w:eastAsia="黑体"/>
          <w:color w:val="auto"/>
          <w:sz w:val="24"/>
          <w:szCs w:val="24"/>
          <w:highlight w:val="yellow"/>
        </w:rPr>
        <w:t>附报价清单</w:t>
      </w:r>
    </w:p>
    <w:p w14:paraId="2BF54254">
      <w:pPr>
        <w:rPr>
          <w:rFonts w:hint="eastAsia" w:ascii="宋体" w:hAnsi="宋体"/>
          <w:b/>
          <w:color w:val="auto"/>
          <w:sz w:val="21"/>
          <w:szCs w:val="24"/>
        </w:rPr>
      </w:pPr>
      <w:r>
        <w:rPr>
          <w:rFonts w:hint="eastAsia" w:ascii="宋体" w:hAnsi="宋体"/>
          <w:b/>
          <w:color w:val="auto"/>
          <w:sz w:val="21"/>
          <w:szCs w:val="24"/>
        </w:rPr>
        <w:br w:type="page"/>
      </w:r>
    </w:p>
    <w:p w14:paraId="5B6F82CC">
      <w:pPr>
        <w:spacing w:beforeLines="0" w:afterLines="0" w:line="360" w:lineRule="auto"/>
        <w:jc w:val="center"/>
        <w:rPr>
          <w:rFonts w:hint="eastAsia" w:ascii="宋体" w:hAnsi="宋体"/>
          <w:b/>
          <w:color w:val="auto"/>
          <w:sz w:val="21"/>
          <w:szCs w:val="24"/>
        </w:rPr>
      </w:pPr>
      <w:r>
        <w:rPr>
          <w:rFonts w:hint="eastAsia" w:ascii="宋体" w:hAnsi="宋体"/>
          <w:b/>
          <w:color w:val="auto"/>
          <w:sz w:val="21"/>
          <w:szCs w:val="24"/>
        </w:rPr>
        <w:t>A．报价说明</w:t>
      </w:r>
    </w:p>
    <w:p w14:paraId="50520609">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1．本采购清单应与采购文件、合同条款等文件结合起来查阅与理解。</w:t>
      </w:r>
    </w:p>
    <w:p w14:paraId="5BE98AC2">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2．响应人在采购清单报价表中填写的综合单价应为响应人按照采购文件要求完成该项目全部服务内容的费用，包括：报价包含了响应人的货物费、人工费、材料费、运输费、管理费、利润、风险、报检等所有费用，在合同履行期间不得以任何理由提出综合单价变更的请求。</w:t>
      </w:r>
    </w:p>
    <w:p w14:paraId="57F8079F">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3.采购清单报价表中综合单价在合同履行期间不调整。</w:t>
      </w:r>
    </w:p>
    <w:p w14:paraId="13A3AA33">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4.采购清单中的各项费用货币单位均为人民币(元)。</w:t>
      </w:r>
    </w:p>
    <w:p w14:paraId="360519C7">
      <w:pPr>
        <w:adjustRightInd w:val="0"/>
        <w:snapToGrid w:val="0"/>
        <w:spacing w:beforeLines="0" w:afterLines="0" w:line="360" w:lineRule="auto"/>
        <w:ind w:firstLine="420" w:firstLineChars="200"/>
        <w:rPr>
          <w:rFonts w:hint="eastAsia" w:ascii="宋体" w:hAnsi="宋体"/>
          <w:color w:val="auto"/>
          <w:sz w:val="21"/>
          <w:szCs w:val="21"/>
        </w:rPr>
      </w:pPr>
    </w:p>
    <w:p w14:paraId="302D085A">
      <w:pPr>
        <w:spacing w:line="360" w:lineRule="auto"/>
        <w:jc w:val="center"/>
        <w:rPr>
          <w:rFonts w:hint="eastAsia" w:ascii="宋体" w:hAnsi="宋体"/>
          <w:b/>
          <w:color w:val="auto"/>
          <w:sz w:val="21"/>
          <w:szCs w:val="21"/>
        </w:rPr>
      </w:pPr>
      <w:r>
        <w:rPr>
          <w:rFonts w:hint="eastAsia" w:ascii="宋体" w:hAnsi="宋体" w:cs="宋体"/>
          <w:b/>
          <w:color w:val="auto"/>
          <w:sz w:val="21"/>
          <w:szCs w:val="21"/>
          <w:lang w:bidi="ar"/>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2D8B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D5AEF1">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序号</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43F2C">
            <w:pPr>
              <w:pStyle w:val="17"/>
              <w:keepNext w:val="0"/>
              <w:keepLines w:val="0"/>
              <w:widowControl w:val="0"/>
              <w:suppressLineNumbers w:val="0"/>
              <w:spacing w:after="120" w:afterAutospacing="0"/>
              <w:ind w:left="0" w:right="0"/>
              <w:jc w:val="center"/>
              <w:rPr>
                <w:rFonts w:hint="default" w:ascii="Calibri" w:hAnsi="Calibri" w:cs="Times New Roman"/>
                <w:color w:val="auto"/>
                <w:kern w:val="2"/>
                <w:sz w:val="21"/>
                <w:szCs w:val="21"/>
              </w:rPr>
            </w:pPr>
            <w:r>
              <w:rPr>
                <w:rFonts w:hint="eastAsia"/>
                <w:color w:val="auto"/>
                <w:kern w:val="2"/>
                <w:sz w:val="21"/>
                <w:szCs w:val="21"/>
                <w:lang w:bidi="ar"/>
              </w:rPr>
              <w:t>采购项目</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EEBB0">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C90688">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备注</w:t>
            </w:r>
          </w:p>
        </w:tc>
      </w:tr>
      <w:tr w14:paraId="77F2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9B057">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1</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5C40D">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合计</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48796C">
            <w:pPr>
              <w:pStyle w:val="17"/>
              <w:keepNext w:val="0"/>
              <w:keepLines w:val="0"/>
              <w:widowControl w:val="0"/>
              <w:suppressLineNumbers w:val="0"/>
              <w:spacing w:after="120" w:afterAutospacing="0"/>
              <w:ind w:left="0" w:right="0" w:firstLine="420" w:firstLineChars="200"/>
              <w:jc w:val="both"/>
              <w:rPr>
                <w:rFonts w:hint="eastAsia"/>
                <w:color w:val="auto"/>
                <w:kern w:val="2"/>
                <w:sz w:val="21"/>
                <w:szCs w:val="21"/>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C866CC">
            <w:pPr>
              <w:pStyle w:val="17"/>
              <w:keepNext w:val="0"/>
              <w:keepLines w:val="0"/>
              <w:widowControl w:val="0"/>
              <w:suppressLineNumbers w:val="0"/>
              <w:spacing w:after="120" w:afterAutospacing="0"/>
              <w:ind w:left="0" w:right="0"/>
              <w:jc w:val="both"/>
              <w:rPr>
                <w:rFonts w:hint="eastAsia"/>
                <w:color w:val="auto"/>
                <w:kern w:val="2"/>
                <w:sz w:val="21"/>
                <w:szCs w:val="21"/>
              </w:rPr>
            </w:pPr>
            <w:r>
              <w:rPr>
                <w:rFonts w:hint="eastAsia"/>
                <w:color w:val="auto"/>
                <w:kern w:val="2"/>
                <w:sz w:val="21"/>
                <w:szCs w:val="21"/>
                <w:lang w:bidi="ar"/>
              </w:rPr>
              <w:t>含税（</w:t>
            </w:r>
            <w:r>
              <w:rPr>
                <w:rFonts w:hint="default" w:ascii="Times New Roman" w:hAnsi="Times New Roman" w:cs="Times New Roman"/>
                <w:color w:val="auto"/>
                <w:kern w:val="2"/>
                <w:sz w:val="21"/>
                <w:szCs w:val="21"/>
                <w:lang w:bidi="ar"/>
              </w:rPr>
              <w:t>13%</w:t>
            </w:r>
            <w:r>
              <w:rPr>
                <w:rFonts w:hint="eastAsia"/>
                <w:color w:val="auto"/>
                <w:kern w:val="2"/>
                <w:sz w:val="21"/>
                <w:szCs w:val="21"/>
                <w:lang w:bidi="ar"/>
              </w:rPr>
              <w:t>）增值税专用发票 ，详见附件报价单。</w:t>
            </w:r>
          </w:p>
        </w:tc>
      </w:tr>
      <w:tr w14:paraId="4A82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B7B8DF">
            <w:pPr>
              <w:pStyle w:val="17"/>
              <w:keepNext w:val="0"/>
              <w:keepLines w:val="0"/>
              <w:widowControl w:val="0"/>
              <w:suppressLineNumbers w:val="0"/>
              <w:spacing w:after="120" w:afterAutospacing="0"/>
              <w:ind w:left="420" w:leftChars="200" w:right="0" w:firstLine="420" w:firstLineChars="200"/>
              <w:jc w:val="center"/>
              <w:rPr>
                <w:rFonts w:hint="eastAsia"/>
                <w:color w:val="auto"/>
                <w:kern w:val="2"/>
                <w:sz w:val="21"/>
                <w:szCs w:val="21"/>
              </w:rPr>
            </w:pPr>
            <w:r>
              <w:rPr>
                <w:rFonts w:hint="eastAsia"/>
                <w:color w:val="auto"/>
                <w:kern w:val="2"/>
                <w:sz w:val="21"/>
                <w:szCs w:val="21"/>
                <w:lang w:bidi="ar"/>
              </w:rPr>
              <w:t>总合计金额（元）</w:t>
            </w:r>
          </w:p>
        </w:tc>
        <w:tc>
          <w:tcPr>
            <w:tcW w:w="40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8E6343">
            <w:pPr>
              <w:pStyle w:val="17"/>
              <w:keepNext w:val="0"/>
              <w:keepLines w:val="0"/>
              <w:widowControl w:val="0"/>
              <w:suppressLineNumbers w:val="0"/>
              <w:spacing w:after="120" w:afterAutospacing="0"/>
              <w:ind w:left="0" w:right="0"/>
              <w:rPr>
                <w:rFonts w:hint="eastAsia"/>
                <w:color w:val="auto"/>
                <w:kern w:val="2"/>
                <w:sz w:val="21"/>
                <w:szCs w:val="21"/>
              </w:rPr>
            </w:pPr>
            <w:r>
              <w:rPr>
                <w:rFonts w:hint="eastAsia"/>
                <w:color w:val="auto"/>
                <w:kern w:val="2"/>
                <w:sz w:val="21"/>
                <w:szCs w:val="21"/>
              </w:rPr>
              <w:t>大写：</w:t>
            </w:r>
          </w:p>
        </w:tc>
      </w:tr>
    </w:tbl>
    <w:p w14:paraId="1232E702">
      <w:pPr>
        <w:pStyle w:val="17"/>
        <w:widowControl w:val="0"/>
        <w:spacing w:after="120" w:afterAutospacing="0"/>
        <w:jc w:val="both"/>
        <w:rPr>
          <w:rFonts w:hint="eastAsia" w:cs="Times New Roman"/>
          <w:color w:val="auto"/>
          <w:kern w:val="2"/>
          <w:sz w:val="21"/>
          <w:szCs w:val="21"/>
        </w:rPr>
      </w:pPr>
      <w:r>
        <w:rPr>
          <w:rFonts w:hint="eastAsia" w:cs="Times New Roman"/>
          <w:color w:val="auto"/>
          <w:kern w:val="2"/>
          <w:sz w:val="21"/>
          <w:szCs w:val="21"/>
          <w:lang w:bidi="ar"/>
        </w:rPr>
        <w:t xml:space="preserve"> </w:t>
      </w:r>
    </w:p>
    <w:p w14:paraId="6ACEEDE6">
      <w:pPr>
        <w:ind w:right="760"/>
        <w:rPr>
          <w:rFonts w:hint="eastAsia" w:ascii="宋体" w:hAnsi="宋体"/>
          <w:color w:val="auto"/>
          <w:sz w:val="21"/>
          <w:szCs w:val="21"/>
        </w:rPr>
      </w:pPr>
      <w:r>
        <w:rPr>
          <w:rFonts w:hint="eastAsia" w:ascii="宋体" w:hAnsi="宋体"/>
          <w:color w:val="auto"/>
          <w:sz w:val="21"/>
          <w:szCs w:val="21"/>
          <w:lang w:bidi="ar"/>
        </w:rPr>
        <w:t xml:space="preserve">  </w:t>
      </w:r>
      <w:r>
        <w:rPr>
          <w:rFonts w:hint="eastAsia" w:ascii="宋体" w:hAnsi="宋体" w:cs="宋体"/>
          <w:color w:val="auto"/>
          <w:sz w:val="21"/>
          <w:szCs w:val="21"/>
          <w:lang w:bidi="ar"/>
        </w:rPr>
        <w:t>报</w:t>
      </w:r>
      <w:r>
        <w:rPr>
          <w:rFonts w:hint="eastAsia" w:ascii="宋体" w:hAnsi="宋体"/>
          <w:color w:val="auto"/>
          <w:sz w:val="21"/>
          <w:szCs w:val="21"/>
          <w:lang w:bidi="ar"/>
        </w:rPr>
        <w:t xml:space="preserve"> </w:t>
      </w:r>
      <w:r>
        <w:rPr>
          <w:rFonts w:hint="eastAsia" w:ascii="宋体" w:hAnsi="宋体" w:cs="宋体"/>
          <w:color w:val="auto"/>
          <w:sz w:val="21"/>
          <w:szCs w:val="21"/>
          <w:lang w:bidi="ar"/>
        </w:rPr>
        <w:t>价</w:t>
      </w:r>
      <w:r>
        <w:rPr>
          <w:rFonts w:hint="eastAsia" w:ascii="宋体" w:hAnsi="宋体"/>
          <w:color w:val="auto"/>
          <w:sz w:val="21"/>
          <w:szCs w:val="21"/>
          <w:lang w:bidi="ar"/>
        </w:rPr>
        <w:t xml:space="preserve"> </w:t>
      </w:r>
      <w:r>
        <w:rPr>
          <w:rFonts w:hint="eastAsia" w:ascii="宋体" w:hAnsi="宋体" w:cs="宋体"/>
          <w:color w:val="auto"/>
          <w:sz w:val="21"/>
          <w:szCs w:val="21"/>
          <w:lang w:bidi="ar"/>
        </w:rPr>
        <w:t>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（盖章</w:t>
      </w:r>
      <w:r>
        <w:rPr>
          <w:rFonts w:hint="eastAsia" w:ascii="宋体" w:hAnsi="宋体"/>
          <w:color w:val="auto"/>
          <w:sz w:val="21"/>
          <w:szCs w:val="21"/>
          <w:lang w:bidi="ar"/>
        </w:rPr>
        <w:t xml:space="preserve"> </w:t>
      </w:r>
      <w:r>
        <w:rPr>
          <w:rFonts w:hint="eastAsia" w:ascii="宋体" w:hAnsi="宋体" w:cs="宋体"/>
          <w:color w:val="auto"/>
          <w:sz w:val="21"/>
          <w:szCs w:val="21"/>
          <w:lang w:bidi="ar"/>
        </w:rPr>
        <w:t>）</w:t>
      </w:r>
    </w:p>
    <w:p w14:paraId="49D81525">
      <w:pPr>
        <w:ind w:right="480" w:firstLine="1470" w:firstLineChars="700"/>
        <w:jc w:val="right"/>
        <w:rPr>
          <w:rFonts w:hint="eastAsia" w:ascii="宋体" w:hAnsi="宋体"/>
          <w:color w:val="auto"/>
          <w:sz w:val="21"/>
          <w:szCs w:val="21"/>
        </w:rPr>
      </w:pPr>
      <w:r>
        <w:rPr>
          <w:rFonts w:hint="eastAsia" w:ascii="宋体" w:hAnsi="宋体"/>
          <w:color w:val="auto"/>
          <w:sz w:val="21"/>
          <w:szCs w:val="21"/>
          <w:lang w:bidi="ar"/>
        </w:rPr>
        <w:t xml:space="preserve"> </w:t>
      </w:r>
    </w:p>
    <w:p w14:paraId="3D728799">
      <w:pPr>
        <w:ind w:right="480" w:firstLine="210" w:firstLineChars="100"/>
        <w:rPr>
          <w:rFonts w:hint="eastAsia" w:ascii="宋体" w:hAnsi="宋体"/>
          <w:color w:val="auto"/>
          <w:sz w:val="21"/>
          <w:szCs w:val="21"/>
        </w:rPr>
      </w:pPr>
      <w:r>
        <w:rPr>
          <w:rFonts w:hint="eastAsia" w:ascii="宋体" w:hAnsi="宋体" w:cs="宋体"/>
          <w:color w:val="auto"/>
          <w:sz w:val="21"/>
          <w:szCs w:val="21"/>
          <w:lang w:bidi="ar"/>
        </w:rPr>
        <w:t>报价人法定代表人或其授权的代理人：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（签字）</w:t>
      </w:r>
    </w:p>
    <w:p w14:paraId="65B20D74">
      <w:pPr>
        <w:pStyle w:val="17"/>
        <w:widowControl w:val="0"/>
        <w:spacing w:after="120" w:afterAutospacing="0"/>
        <w:ind w:firstLine="210" w:firstLineChars="100"/>
        <w:jc w:val="both"/>
        <w:rPr>
          <w:rFonts w:hint="eastAsia" w:ascii="Calibri" w:hAnsi="Calibri" w:cs="Times New Roman"/>
          <w:color w:val="auto"/>
          <w:kern w:val="2"/>
          <w:sz w:val="21"/>
          <w:szCs w:val="21"/>
        </w:rPr>
      </w:pPr>
      <w:r>
        <w:rPr>
          <w:rFonts w:hint="eastAsia"/>
          <w:color w:val="auto"/>
          <w:kern w:val="2"/>
          <w:sz w:val="21"/>
          <w:szCs w:val="21"/>
          <w:lang w:bidi="ar"/>
        </w:rPr>
        <w:t>日</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期：</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年</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月</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日</w:t>
      </w:r>
    </w:p>
    <w:p w14:paraId="6DD6B003">
      <w:pPr>
        <w:spacing w:beforeLines="0" w:afterLines="0" w:line="360" w:lineRule="auto"/>
        <w:jc w:val="left"/>
        <w:rPr>
          <w:rFonts w:hint="eastAsia" w:ascii="宋体" w:hAnsi="宋体"/>
          <w:b/>
          <w:color w:val="auto"/>
          <w:sz w:val="21"/>
          <w:szCs w:val="24"/>
        </w:rPr>
      </w:pPr>
    </w:p>
    <w:p w14:paraId="1B519F26">
      <w:pPr>
        <w:pStyle w:val="19"/>
        <w:widowControl/>
        <w:spacing w:after="0" w:line="440" w:lineRule="exact"/>
        <w:rPr>
          <w:rFonts w:hint="eastAsia" w:ascii="宋体" w:hAnsi="宋体"/>
          <w:color w:val="auto"/>
          <w:sz w:val="21"/>
          <w:szCs w:val="21"/>
        </w:rPr>
      </w:pPr>
      <w:r>
        <w:rPr>
          <w:rFonts w:hint="eastAsia" w:ascii="宋体" w:hAnsi="宋体"/>
          <w:b/>
          <w:color w:val="auto"/>
          <w:sz w:val="21"/>
          <w:szCs w:val="21"/>
        </w:rPr>
        <w:t xml:space="preserve"> 备注：</w:t>
      </w:r>
      <w:r>
        <w:rPr>
          <w:rFonts w:hint="eastAsia" w:ascii="宋体" w:hAnsi="宋体"/>
          <w:color w:val="auto"/>
          <w:sz w:val="21"/>
          <w:szCs w:val="21"/>
        </w:rPr>
        <w:t>1.上述费用包括货物的原材料、生产、包装、运输、保险、人工费、利润、税费等相关费用。</w:t>
      </w:r>
    </w:p>
    <w:p w14:paraId="3201A110">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2.最终结算以实际供货数量为准，送货时附带相关检测报告。</w:t>
      </w:r>
    </w:p>
    <w:p w14:paraId="478D2DEB">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color w:val="auto"/>
          <w:sz w:val="21"/>
          <w:szCs w:val="21"/>
        </w:rPr>
        <w:t>第三方复试费用均由供应商承担（含检测样品），抽检频率和批次按国家、行业标准或甲方要求执行。</w:t>
      </w:r>
    </w:p>
    <w:p w14:paraId="3D87267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4.</w:t>
      </w:r>
      <w:r>
        <w:rPr>
          <w:rFonts w:hint="eastAsia" w:ascii="宋体" w:hAnsi="宋体"/>
          <w:color w:val="auto"/>
          <w:sz w:val="21"/>
          <w:szCs w:val="21"/>
          <w:lang w:val="en-US" w:eastAsia="zh-CN"/>
        </w:rPr>
        <w:t>供应货物</w:t>
      </w:r>
      <w:r>
        <w:rPr>
          <w:rFonts w:hint="eastAsia" w:ascii="宋体" w:hAnsi="宋体"/>
          <w:color w:val="auto"/>
          <w:sz w:val="21"/>
          <w:szCs w:val="21"/>
        </w:rPr>
        <w:t>须在包装外壁醒目位置上永久性标示生产厂家、生产批次、品牌标志、规格型号、唯一性可追溯性编码标识（如二维码）等信息。</w:t>
      </w:r>
    </w:p>
    <w:p w14:paraId="5E5DB2A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5.</w:t>
      </w:r>
      <w:r>
        <w:rPr>
          <w:rFonts w:hint="eastAsia" w:ascii="宋体" w:hAnsi="宋体"/>
          <w:color w:val="auto"/>
          <w:sz w:val="21"/>
          <w:szCs w:val="21"/>
          <w:lang w:val="en-US" w:eastAsia="zh-CN"/>
        </w:rPr>
        <w:t>供应货物的</w:t>
      </w:r>
      <w:r>
        <w:rPr>
          <w:rFonts w:hint="eastAsia" w:ascii="宋体" w:hAnsi="宋体"/>
          <w:color w:val="auto"/>
          <w:sz w:val="21"/>
          <w:szCs w:val="21"/>
        </w:rPr>
        <w:t>供货进度应满足采购人工程进度分批次实施的安排和要求，</w:t>
      </w:r>
      <w:r>
        <w:rPr>
          <w:rFonts w:hint="eastAsia" w:ascii="宋体" w:hAnsi="宋体"/>
          <w:color w:val="auto"/>
          <w:sz w:val="21"/>
          <w:szCs w:val="21"/>
          <w:lang w:val="en-US" w:eastAsia="zh-CN"/>
        </w:rPr>
        <w:t>成交候选人</w:t>
      </w:r>
      <w:r>
        <w:rPr>
          <w:rFonts w:hint="eastAsia" w:ascii="宋体" w:hAnsi="宋体"/>
          <w:color w:val="auto"/>
          <w:sz w:val="21"/>
          <w:szCs w:val="21"/>
        </w:rPr>
        <w:t>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采购、进场工作，并承担因送货次数增加而引起的运输成本增加等相应风险。</w:t>
      </w:r>
    </w:p>
    <w:p w14:paraId="1A784777">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6.</w:t>
      </w:r>
      <w:r>
        <w:rPr>
          <w:rFonts w:hint="eastAsia" w:ascii="宋体" w:hAnsi="宋体"/>
          <w:color w:val="auto"/>
          <w:sz w:val="21"/>
          <w:szCs w:val="21"/>
          <w:lang w:val="en-US" w:eastAsia="zh-CN"/>
        </w:rPr>
        <w:t>成交候选人</w:t>
      </w:r>
      <w:r>
        <w:rPr>
          <w:rFonts w:hint="eastAsia" w:ascii="宋体" w:hAnsi="宋体"/>
          <w:color w:val="auto"/>
          <w:sz w:val="21"/>
          <w:szCs w:val="21"/>
        </w:rPr>
        <w:t>对提供的</w:t>
      </w:r>
      <w:r>
        <w:rPr>
          <w:rFonts w:hint="eastAsia" w:ascii="宋体" w:hAnsi="宋体"/>
          <w:color w:val="auto"/>
          <w:sz w:val="21"/>
          <w:szCs w:val="21"/>
          <w:lang w:val="en-US" w:eastAsia="zh-CN"/>
        </w:rPr>
        <w:t>供应货物的</w:t>
      </w:r>
      <w:r>
        <w:rPr>
          <w:rFonts w:hint="eastAsia" w:ascii="宋体" w:hAnsi="宋体"/>
          <w:color w:val="auto"/>
          <w:sz w:val="21"/>
          <w:szCs w:val="21"/>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color w:val="auto"/>
          <w:sz w:val="21"/>
          <w:szCs w:val="21"/>
        </w:rPr>
        <w:t>质量问题，将视作违约，</w:t>
      </w:r>
      <w:r>
        <w:rPr>
          <w:rFonts w:hint="eastAsia" w:ascii="宋体" w:hAnsi="宋体"/>
          <w:color w:val="auto"/>
          <w:sz w:val="21"/>
          <w:szCs w:val="21"/>
          <w:lang w:val="en-US" w:eastAsia="zh-CN"/>
        </w:rPr>
        <w:t>成交候选人</w:t>
      </w:r>
      <w:r>
        <w:rPr>
          <w:rFonts w:hint="eastAsia" w:ascii="宋体" w:hAnsi="宋体"/>
          <w:color w:val="auto"/>
          <w:sz w:val="21"/>
          <w:szCs w:val="21"/>
        </w:rPr>
        <w:t>须赔偿由此造成返工的全部工程建设费用及其他一切损失，同时由采购人追究</w:t>
      </w:r>
      <w:r>
        <w:rPr>
          <w:rFonts w:hint="eastAsia" w:ascii="宋体" w:hAnsi="宋体"/>
          <w:color w:val="auto"/>
          <w:sz w:val="21"/>
          <w:szCs w:val="21"/>
          <w:lang w:val="en-US" w:eastAsia="zh-CN"/>
        </w:rPr>
        <w:t>成交候选人</w:t>
      </w:r>
      <w:r>
        <w:rPr>
          <w:rFonts w:hint="eastAsia" w:ascii="宋体" w:hAnsi="宋体"/>
          <w:color w:val="auto"/>
          <w:sz w:val="21"/>
          <w:szCs w:val="21"/>
        </w:rPr>
        <w:t>的违约责任，情节严重的，依法追究相关责任。</w:t>
      </w:r>
    </w:p>
    <w:p w14:paraId="610EAD63">
      <w:pPr>
        <w:spacing w:beforeLines="0" w:afterLines="0" w:line="360" w:lineRule="auto"/>
        <w:jc w:val="left"/>
        <w:rPr>
          <w:rFonts w:hint="eastAsia" w:ascii="宋体" w:hAnsi="宋体"/>
          <w:b/>
          <w:color w:val="auto"/>
          <w:sz w:val="21"/>
          <w:szCs w:val="24"/>
          <w:highlight w:val="yellow"/>
          <w:lang w:val="en-US" w:eastAsia="zh-CN"/>
        </w:rPr>
      </w:pPr>
      <w:bookmarkStart w:id="140" w:name="_GoBack"/>
      <w:r>
        <w:rPr>
          <w:rFonts w:hint="eastAsia" w:ascii="宋体" w:hAnsi="宋体"/>
          <w:b/>
          <w:color w:val="auto"/>
          <w:sz w:val="21"/>
          <w:szCs w:val="24"/>
          <w:highlight w:val="yellow"/>
          <w:lang w:val="en-US" w:eastAsia="zh-CN"/>
        </w:rPr>
        <w:t>7.材料供应标准：所供砖砌块必须符合现行国家、行业及地方强制性标准与规范。当采购文件要求与上述标准不一致时，以更高（更严格）的标准为准，所供砖砌体均需满足工程一次性验收合格要求。</w:t>
      </w:r>
    </w:p>
    <w:p w14:paraId="28417062">
      <w:pPr>
        <w:spacing w:beforeLines="0" w:afterLines="0" w:line="360" w:lineRule="auto"/>
        <w:jc w:val="left"/>
        <w:rPr>
          <w:rFonts w:hint="eastAsia" w:ascii="宋体" w:hAnsi="宋体"/>
          <w:b/>
          <w:color w:val="auto"/>
          <w:sz w:val="21"/>
          <w:szCs w:val="24"/>
          <w:highlight w:val="yellow"/>
          <w:lang w:val="en-US" w:eastAsia="zh-CN"/>
        </w:rPr>
      </w:pPr>
      <w:r>
        <w:rPr>
          <w:rFonts w:hint="eastAsia" w:ascii="宋体" w:hAnsi="宋体"/>
          <w:b/>
          <w:color w:val="auto"/>
          <w:sz w:val="21"/>
          <w:szCs w:val="24"/>
          <w:highlight w:val="yellow"/>
          <w:lang w:val="en-US" w:eastAsia="zh-CN"/>
        </w:rPr>
        <w:t>8.所供砖砌块供应前许履行封样手续，封样必须提供真实的检测报告及生产厂家营业执照。</w:t>
      </w:r>
    </w:p>
    <w:p w14:paraId="346358DA">
      <w:pPr>
        <w:spacing w:beforeLines="0" w:afterLines="0" w:line="360" w:lineRule="auto"/>
        <w:jc w:val="left"/>
        <w:rPr>
          <w:rFonts w:hint="default" w:ascii="宋体" w:hAnsi="宋体"/>
          <w:b/>
          <w:color w:val="auto"/>
          <w:sz w:val="21"/>
          <w:szCs w:val="24"/>
          <w:highlight w:val="yellow"/>
          <w:lang w:val="en-US" w:eastAsia="zh-CN"/>
        </w:rPr>
        <w:sectPr>
          <w:headerReference r:id="rId7" w:type="default"/>
          <w:footerReference r:id="rId8" w:type="default"/>
          <w:pgSz w:w="11906" w:h="16838"/>
          <w:pgMar w:top="1440" w:right="1800" w:bottom="1440" w:left="1800" w:header="851" w:footer="992" w:gutter="0"/>
          <w:lnNumType w:countBy="0" w:distance="360"/>
          <w:pgNumType w:fmt="decimal"/>
          <w:cols w:space="720" w:num="1"/>
          <w:docGrid w:type="lines" w:linePitch="312" w:charSpace="0"/>
        </w:sectPr>
      </w:pPr>
      <w:r>
        <w:rPr>
          <w:rFonts w:hint="eastAsia" w:ascii="宋体" w:hAnsi="宋体"/>
          <w:b/>
          <w:color w:val="auto"/>
          <w:sz w:val="21"/>
          <w:szCs w:val="24"/>
          <w:highlight w:val="yellow"/>
          <w:lang w:val="en-US" w:eastAsia="zh-CN"/>
        </w:rPr>
        <w:t>9.抽检须经现场三方共同验收合格后方可进场；如未达标，该批货物将无条件退货，待抽检合格后方可重新安排送货。</w:t>
      </w:r>
    </w:p>
    <w:bookmarkEnd w:id="140"/>
    <w:p w14:paraId="7DDAE56D">
      <w:pPr>
        <w:spacing w:beforeLines="0" w:afterLines="0" w:line="440" w:lineRule="exact"/>
        <w:jc w:val="center"/>
        <w:outlineLvl w:val="1"/>
        <w:rPr>
          <w:rFonts w:hint="default" w:ascii="Times New Roman" w:hAnsi="Times New Roman" w:eastAsia="黑体"/>
          <w:color w:val="auto"/>
          <w:sz w:val="28"/>
          <w:szCs w:val="28"/>
        </w:rPr>
      </w:pPr>
      <w:bookmarkStart w:id="122" w:name="_Toc22419_WPSOffice_Level1"/>
      <w:bookmarkStart w:id="123" w:name="_Toc19774_WPSOffice_Level1"/>
      <w:r>
        <w:rPr>
          <w:rFonts w:hint="eastAsia" w:ascii="Times New Roman" w:hAnsi="Times New Roman" w:eastAsia="黑体"/>
          <w:color w:val="auto"/>
          <w:sz w:val="28"/>
          <w:szCs w:val="28"/>
        </w:rPr>
        <w:t>四、</w:t>
      </w:r>
      <w:bookmarkStart w:id="124" w:name="_Toc803_WPSOffice_Level2"/>
      <w:bookmarkStart w:id="125" w:name="_Toc25374_WPSOffice_Level2"/>
      <w:r>
        <w:rPr>
          <w:rFonts w:hint="eastAsia" w:ascii="Times New Roman" w:hAnsi="Times New Roman" w:eastAsia="黑体"/>
          <w:color w:val="auto"/>
          <w:sz w:val="28"/>
          <w:szCs w:val="28"/>
        </w:rPr>
        <w:t>供应商基本情况</w:t>
      </w:r>
      <w:bookmarkEnd w:id="122"/>
      <w:bookmarkEnd w:id="123"/>
      <w:bookmarkEnd w:id="124"/>
      <w:bookmarkEnd w:id="125"/>
    </w:p>
    <w:p w14:paraId="5EB40DFF">
      <w:pPr>
        <w:topLinePunct/>
        <w:spacing w:beforeLines="0" w:afterLines="0" w:line="440" w:lineRule="exact"/>
        <w:jc w:val="center"/>
        <w:rPr>
          <w:rFonts w:hint="default" w:ascii="Times New Roman" w:hAnsi="Times New Roman"/>
          <w:color w:val="auto"/>
          <w:sz w:val="23"/>
          <w:szCs w:val="23"/>
        </w:rPr>
      </w:pPr>
    </w:p>
    <w:tbl>
      <w:tblPr>
        <w:tblStyle w:val="21"/>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649F3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B5EC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供应商名称</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0FF4B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117B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1717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注册地址</w:t>
            </w:r>
          </w:p>
        </w:tc>
        <w:tc>
          <w:tcPr>
            <w:tcW w:w="32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6B410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DA45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D740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4FB9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75318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联系方式</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E585F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联系人</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BA7E8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783D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56BB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928E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5DBA0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D207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职  务</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99007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B61E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电子邮箱</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546F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AF44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21B1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法定代表人</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3A0DF0A">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F03A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8C39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企业资质等级</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1E29D4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3709C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2CCA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40F2A2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p w14:paraId="28E4510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p w14:paraId="3690A786">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0913D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11E25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D3D7D1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bl>
    <w:p w14:paraId="760C75D6">
      <w:pPr>
        <w:widowControl/>
        <w:autoSpaceDE w:val="0"/>
        <w:autoSpaceDN w:val="0"/>
        <w:spacing w:beforeLines="0" w:afterLines="0" w:line="360" w:lineRule="atLeast"/>
        <w:ind w:left="180"/>
        <w:textAlignment w:val="bottom"/>
        <w:rPr>
          <w:rFonts w:hint="default" w:ascii="Times New Roman" w:hAnsi="Times New Roman"/>
          <w:color w:val="auto"/>
          <w:sz w:val="20"/>
          <w:szCs w:val="20"/>
        </w:rPr>
      </w:pPr>
      <w:r>
        <w:rPr>
          <w:rFonts w:hint="eastAsia" w:ascii="Times New Roman" w:hAnsi="Times New Roman" w:eastAsia="黑体"/>
          <w:color w:val="auto"/>
          <w:sz w:val="21"/>
          <w:szCs w:val="21"/>
        </w:rPr>
        <w:t>注：</w:t>
      </w:r>
    </w:p>
    <w:p w14:paraId="0C4EFDF7">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在本表后应附企业法人营业执照（事业单位法人证书，如有）、资质证书（如有）及资格审查要求的其他证件复印件。</w:t>
      </w:r>
    </w:p>
    <w:p w14:paraId="034162D5">
      <w:pPr>
        <w:tabs>
          <w:tab w:val="left" w:pos="3060"/>
        </w:tabs>
        <w:topLinePunct/>
        <w:spacing w:beforeLines="0" w:afterLines="0" w:line="440" w:lineRule="exact"/>
        <w:jc w:val="center"/>
        <w:outlineLvl w:val="1"/>
        <w:rPr>
          <w:rFonts w:hint="default" w:ascii="Times New Roman" w:hAnsi="Times New Roman" w:eastAsia="黑体"/>
          <w:color w:val="auto"/>
          <w:sz w:val="28"/>
          <w:szCs w:val="28"/>
        </w:rPr>
      </w:pPr>
      <w:bookmarkStart w:id="126" w:name="_Toc26594_WPSOffice_Level1"/>
      <w:bookmarkStart w:id="127" w:name="_Toc27376_WPSOffice_Level1"/>
      <w:bookmarkStart w:id="128" w:name="_Toc5889_WPSOffice_Level1"/>
      <w:bookmarkStart w:id="129" w:name="_Toc27072_WPSOffice_Level1"/>
      <w:r>
        <w:rPr>
          <w:rFonts w:hint="eastAsia" w:ascii="Times New Roman" w:hAnsi="Times New Roman" w:eastAsia="黑体"/>
          <w:color w:val="auto"/>
          <w:sz w:val="28"/>
          <w:szCs w:val="28"/>
        </w:rPr>
        <w:br w:type="page"/>
      </w:r>
      <w:r>
        <w:rPr>
          <w:rFonts w:hint="eastAsia" w:ascii="Times New Roman" w:hAnsi="Times New Roman" w:eastAsia="黑体"/>
          <w:color w:val="auto"/>
          <w:sz w:val="28"/>
          <w:szCs w:val="28"/>
        </w:rPr>
        <w:t>五、业绩情况</w:t>
      </w:r>
    </w:p>
    <w:p w14:paraId="2DFAF9EA">
      <w:pPr>
        <w:tabs>
          <w:tab w:val="left" w:pos="3060"/>
        </w:tabs>
        <w:topLinePunct/>
        <w:spacing w:beforeLines="0" w:afterLines="0" w:line="440" w:lineRule="exact"/>
        <w:jc w:val="center"/>
        <w:rPr>
          <w:rFonts w:hint="default" w:ascii="Times New Roman" w:hAnsi="Times New Roman" w:eastAsia="黑体"/>
          <w:color w:val="auto"/>
          <w:sz w:val="28"/>
          <w:szCs w:val="28"/>
        </w:rPr>
      </w:pPr>
    </w:p>
    <w:tbl>
      <w:tblPr>
        <w:tblStyle w:val="21"/>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5899"/>
      </w:tblGrid>
      <w:tr w14:paraId="0A75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242DD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项目名称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7B16C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12BA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4C0F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B44246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7C1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F113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业主代表姓名</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117AFAE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203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167B6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业主代表电话</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2F1BE9B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47D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8B55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合同价格</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616B500A">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3819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F498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供货内容描述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E3F58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6B5B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EA549">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016B1D">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3E5F6961">
      <w:pPr>
        <w:widowControl/>
        <w:autoSpaceDE w:val="0"/>
        <w:autoSpaceDN w:val="0"/>
        <w:spacing w:beforeLines="0" w:afterLines="0" w:line="360" w:lineRule="atLeast"/>
        <w:ind w:left="418" w:hanging="418" w:hangingChars="209"/>
        <w:textAlignment w:val="bottom"/>
        <w:rPr>
          <w:rFonts w:hint="default" w:ascii="Times New Roman" w:hAnsi="Times New Roman" w:eastAsia="黑体"/>
          <w:color w:val="auto"/>
          <w:sz w:val="21"/>
          <w:szCs w:val="21"/>
        </w:rPr>
      </w:pPr>
      <w:r>
        <w:rPr>
          <w:rFonts w:hint="eastAsia" w:ascii="Times New Roman" w:hAnsi="Times New Roman" w:eastAsia="黑体"/>
          <w:color w:val="auto"/>
          <w:sz w:val="20"/>
          <w:szCs w:val="20"/>
        </w:rPr>
        <w:t>注：</w:t>
      </w:r>
    </w:p>
    <w:p w14:paraId="3AF1A2EB">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1、每张表格只填写一个项目，并标明序号。</w:t>
      </w:r>
    </w:p>
    <w:p w14:paraId="7ED23274">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2、业绩证明材料要求：_</w:t>
      </w:r>
      <w:r>
        <w:rPr>
          <w:rFonts w:hint="eastAsia" w:ascii="Times New Roman" w:hAnsi="Times New Roman" w:eastAsia="黑体"/>
          <w:color w:val="auto"/>
          <w:sz w:val="21"/>
          <w:szCs w:val="21"/>
          <w:u w:val="single"/>
        </w:rPr>
        <w:t>满足前附表要求</w:t>
      </w:r>
      <w:r>
        <w:rPr>
          <w:rFonts w:hint="eastAsia" w:ascii="Times New Roman" w:hAnsi="Times New Roman" w:eastAsia="黑体"/>
          <w:color w:val="auto"/>
          <w:sz w:val="21"/>
          <w:szCs w:val="21"/>
        </w:rPr>
        <w:t>__。</w:t>
      </w:r>
    </w:p>
    <w:p w14:paraId="0830F561">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3、如近年来，供应商法人机构发生合法变更或重组或法人名称变更时，应提供相关部门的合法批件或其他相关证明材料来证明其所附业绩的继承性。</w:t>
      </w:r>
    </w:p>
    <w:p w14:paraId="3E0E8DFC">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41B1E9C9">
      <w:pPr>
        <w:pStyle w:val="8"/>
        <w:spacing w:beforeLines="0" w:afterLines="0"/>
        <w:rPr>
          <w:rFonts w:hint="default" w:eastAsia="黑体"/>
          <w:color w:val="auto"/>
          <w:sz w:val="21"/>
          <w:szCs w:val="24"/>
        </w:rPr>
      </w:pPr>
    </w:p>
    <w:p w14:paraId="731A9800">
      <w:pPr>
        <w:pStyle w:val="8"/>
        <w:spacing w:beforeLines="0" w:afterLines="0"/>
        <w:rPr>
          <w:rFonts w:hint="default" w:ascii="Times New Roman" w:hAnsi="Times New Roman"/>
          <w:color w:val="auto"/>
          <w:sz w:val="21"/>
          <w:szCs w:val="24"/>
        </w:rPr>
      </w:pPr>
    </w:p>
    <w:p w14:paraId="6868D079">
      <w:pPr>
        <w:topLinePunct/>
        <w:spacing w:beforeLines="0" w:afterLines="0" w:line="340" w:lineRule="atLeast"/>
        <w:jc w:val="center"/>
        <w:rPr>
          <w:rFonts w:hint="default" w:ascii="Times New Roman" w:hAnsi="Times New Roman" w:eastAsia="黑体"/>
          <w:color w:val="auto"/>
          <w:sz w:val="24"/>
          <w:szCs w:val="24"/>
        </w:rPr>
      </w:pPr>
      <w:r>
        <w:rPr>
          <w:rFonts w:hint="default" w:ascii="Times New Roman" w:hAnsi="Times New Roman" w:eastAsia="黑体"/>
          <w:color w:val="auto"/>
          <w:sz w:val="28"/>
          <w:szCs w:val="28"/>
        </w:rPr>
        <w:br w:type="page"/>
      </w:r>
    </w:p>
    <w:p w14:paraId="08C07709">
      <w:pPr>
        <w:tabs>
          <w:tab w:val="left" w:pos="3060"/>
        </w:tabs>
        <w:topLinePunct/>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六、信誉情况</w:t>
      </w:r>
      <w:bookmarkEnd w:id="126"/>
      <w:bookmarkEnd w:id="127"/>
      <w:bookmarkEnd w:id="128"/>
      <w:bookmarkEnd w:id="129"/>
    </w:p>
    <w:p w14:paraId="482B5032">
      <w:pPr>
        <w:topLinePunct/>
        <w:spacing w:beforeLines="0" w:afterLines="0" w:line="440" w:lineRule="exact"/>
        <w:rPr>
          <w:rFonts w:hint="default" w:ascii="Times New Roman" w:hAnsi="Times New Roman"/>
          <w:color w:val="auto"/>
          <w:sz w:val="23"/>
          <w:szCs w:val="23"/>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69FE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Borders>
              <w:top w:val="single" w:color="auto" w:sz="4" w:space="0"/>
              <w:left w:val="single" w:color="auto" w:sz="4" w:space="0"/>
              <w:bottom w:val="single" w:color="auto" w:sz="4" w:space="0"/>
              <w:right w:val="single" w:color="auto" w:sz="4" w:space="0"/>
              <w:tl2br w:val="nil"/>
              <w:tr2bl w:val="nil"/>
            </w:tcBorders>
            <w:noWrap w:val="0"/>
            <w:vAlign w:val="top"/>
          </w:tcPr>
          <w:p w14:paraId="0B207A4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 目</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5C849B1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供应商情况说明</w:t>
            </w:r>
          </w:p>
        </w:tc>
      </w:tr>
      <w:tr w14:paraId="55A5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E3E73">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是否被责令停业，暂扣或吊销执照，或吊销资质证书</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22402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eastAsia="黑体"/>
                <w:color w:val="auto"/>
                <w:sz w:val="21"/>
                <w:szCs w:val="21"/>
              </w:rPr>
            </w:pPr>
          </w:p>
        </w:tc>
      </w:tr>
      <w:tr w14:paraId="2B27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0D720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是否进入清算程序，或被宣告破产，或其他丧失履约能力的情形</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2162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A1F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D2250">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是否在国家企业信用信息公示系统（www.gsxt.gov.cn）中被列入严重违法失信企业名单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B834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6D6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D51D48">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是否在“信用中国”网站（www.creditchina.gov.cn）中被列入失信被执行人名单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668E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11B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459B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是否在近三年内（自响应文件递交截止之日向前追溯3年）供应商或其法定代表人、拟委任的项目经理（如有）有行贿犯罪行为</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14E19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10C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4A0C7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4"/>
                <w:szCs w:val="28"/>
              </w:rPr>
            </w:pPr>
            <w:r>
              <w:rPr>
                <w:rFonts w:hint="default" w:ascii="Times New Roman" w:hAnsi="Times New Roman"/>
                <w:color w:val="auto"/>
                <w:sz w:val="24"/>
                <w:szCs w:val="28"/>
              </w:rPr>
              <w:t>……</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7730B11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26A72A72">
      <w:pPr>
        <w:spacing w:beforeLines="0" w:afterLines="0" w:line="440" w:lineRule="exact"/>
        <w:jc w:val="left"/>
        <w:rPr>
          <w:rFonts w:hint="default" w:ascii="Times New Roman" w:hAnsi="Times New Roman"/>
          <w:color w:val="auto"/>
          <w:sz w:val="24"/>
          <w:szCs w:val="24"/>
        </w:rPr>
      </w:pPr>
      <w:r>
        <w:rPr>
          <w:rFonts w:hint="eastAsia" w:ascii="Times New Roman" w:hAnsi="Times New Roman"/>
          <w:color w:val="auto"/>
          <w:sz w:val="24"/>
          <w:szCs w:val="24"/>
        </w:rPr>
        <w:t>注：本表无需附证明材料，供应商应如实填写情况说明，如无以上内容，可在情况说明处填写无即可，如有弄虚作假行为，采购人保留对供应商依法依规处理的权利。</w:t>
      </w:r>
    </w:p>
    <w:p w14:paraId="77E17A5A">
      <w:pPr>
        <w:pStyle w:val="8"/>
        <w:spacing w:beforeLines="0" w:afterLines="0"/>
        <w:jc w:val="right"/>
        <w:rPr>
          <w:rFonts w:hint="default" w:ascii="Times New Roman" w:hAnsi="Times New Roman"/>
          <w:color w:val="auto"/>
          <w:sz w:val="24"/>
          <w:szCs w:val="24"/>
        </w:rPr>
      </w:pPr>
    </w:p>
    <w:p w14:paraId="31E224DC">
      <w:pPr>
        <w:spacing w:beforeLines="0" w:afterLines="0" w:line="440" w:lineRule="exact"/>
        <w:jc w:val="right"/>
        <w:rPr>
          <w:rFonts w:hint="default" w:ascii="Times New Roman" w:hAnsi="Times New Roman"/>
          <w:color w:val="auto"/>
          <w:sz w:val="24"/>
          <w:szCs w:val="24"/>
        </w:rPr>
      </w:pPr>
      <w:r>
        <w:rPr>
          <w:rFonts w:hint="eastAsia" w:ascii="Times New Roman" w:hAnsi="Times New Roman"/>
          <w:color w:val="auto"/>
          <w:sz w:val="24"/>
          <w:szCs w:val="24"/>
        </w:rPr>
        <w:t>供应商：</w:t>
      </w:r>
      <w:r>
        <w:rPr>
          <w:rFonts w:hint="default" w:ascii="Times New Roman" w:hAnsi="Times New Roman"/>
          <w:color w:val="auto"/>
          <w:sz w:val="24"/>
          <w:szCs w:val="24"/>
          <w:u w:val="single"/>
        </w:rPr>
        <w:t xml:space="preserve">                 </w:t>
      </w:r>
      <w:r>
        <w:rPr>
          <w:rFonts w:hint="default" w:ascii="Times New Roman" w:hAnsi="Times New Roman"/>
          <w:color w:val="auto"/>
          <w:sz w:val="24"/>
          <w:szCs w:val="24"/>
        </w:rPr>
        <w:t>(</w:t>
      </w:r>
      <w:r>
        <w:rPr>
          <w:rFonts w:hint="eastAsia" w:ascii="Times New Roman" w:hAnsi="Times New Roman"/>
          <w:color w:val="auto"/>
          <w:sz w:val="24"/>
          <w:szCs w:val="24"/>
        </w:rPr>
        <w:t>盖单位章)</w:t>
      </w:r>
    </w:p>
    <w:p w14:paraId="690F9C8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color w:val="auto"/>
          <w:sz w:val="24"/>
          <w:szCs w:val="22"/>
          <w:u w:val="single"/>
        </w:rPr>
      </w:pPr>
    </w:p>
    <w:p w14:paraId="7E1DD25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eastAsia="黑体"/>
          <w:color w:val="auto"/>
          <w:sz w:val="28"/>
          <w:szCs w:val="28"/>
        </w:rPr>
      </w:pPr>
      <w:r>
        <w:rPr>
          <w:rFonts w:hint="eastAsia" w:ascii="Times New Roman" w:hAnsi="Times New Roman"/>
          <w:color w:val="auto"/>
          <w:sz w:val="24"/>
          <w:szCs w:val="22"/>
          <w:u w:val="single"/>
        </w:rPr>
        <w:t xml:space="preserve">      </w:t>
      </w:r>
      <w:r>
        <w:rPr>
          <w:rFonts w:hint="eastAsia" w:ascii="Times New Roman" w:hAnsi="Times New Roman"/>
          <w:color w:val="auto"/>
          <w:sz w:val="24"/>
          <w:szCs w:val="22"/>
        </w:rPr>
        <w:t xml:space="preserve">年 </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月</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日</w:t>
      </w:r>
    </w:p>
    <w:p w14:paraId="6D04F988">
      <w:pPr>
        <w:rPr>
          <w:rFonts w:hint="eastAsia" w:ascii="Times New Roman" w:hAnsi="Times New Roman" w:eastAsia="黑体"/>
          <w:color w:val="auto"/>
          <w:sz w:val="28"/>
          <w:szCs w:val="28"/>
        </w:rPr>
      </w:pPr>
      <w:bookmarkStart w:id="130" w:name="_Toc22014_WPSOffice_Level1"/>
      <w:bookmarkStart w:id="131" w:name="_Toc4822_WPSOffice_Level1"/>
      <w:r>
        <w:rPr>
          <w:rFonts w:hint="eastAsia" w:ascii="Times New Roman" w:hAnsi="Times New Roman" w:eastAsia="黑体"/>
          <w:color w:val="auto"/>
          <w:sz w:val="28"/>
          <w:szCs w:val="28"/>
        </w:rPr>
        <w:br w:type="page"/>
      </w:r>
    </w:p>
    <w:p w14:paraId="52E1105B">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七、其它材料</w:t>
      </w:r>
      <w:bookmarkEnd w:id="130"/>
      <w:bookmarkEnd w:id="131"/>
    </w:p>
    <w:p w14:paraId="5046FE4A">
      <w:pPr>
        <w:pStyle w:val="8"/>
        <w:spacing w:beforeLines="0" w:afterLines="0" w:line="360" w:lineRule="auto"/>
        <w:outlineLvl w:val="9"/>
        <w:rPr>
          <w:rFonts w:hint="default" w:ascii="Times New Roman" w:hAnsi="Times New Roman"/>
          <w:color w:val="auto"/>
          <w:sz w:val="21"/>
          <w:szCs w:val="28"/>
        </w:rPr>
      </w:pPr>
      <w:bookmarkStart w:id="132" w:name="_Toc27019"/>
      <w:bookmarkStart w:id="133" w:name="_Toc26703"/>
      <w:bookmarkStart w:id="134" w:name="_Toc32376"/>
      <w:bookmarkStart w:id="135" w:name="_Toc26833"/>
      <w:bookmarkStart w:id="136" w:name="_Toc12549"/>
      <w:bookmarkStart w:id="137" w:name="_Toc3540"/>
      <w:bookmarkStart w:id="138" w:name="_Toc25270"/>
      <w:bookmarkStart w:id="139" w:name="_Toc11509"/>
      <w:r>
        <w:rPr>
          <w:rFonts w:hint="eastAsia" w:ascii="Times New Roman" w:hAnsi="Times New Roman"/>
          <w:color w:val="auto"/>
          <w:sz w:val="21"/>
          <w:szCs w:val="28"/>
        </w:rPr>
        <w:t>响应保证金的银行凭证（电汇回单）复印件以及供应商认为需要递交的其它材料。</w:t>
      </w:r>
      <w:bookmarkEnd w:id="132"/>
      <w:bookmarkEnd w:id="133"/>
      <w:bookmarkEnd w:id="134"/>
      <w:bookmarkEnd w:id="135"/>
      <w:bookmarkEnd w:id="136"/>
      <w:bookmarkEnd w:id="137"/>
      <w:bookmarkEnd w:id="138"/>
      <w:bookmarkEnd w:id="139"/>
    </w:p>
    <w:bookmarkEnd w:id="73"/>
    <w:bookmarkEnd w:id="74"/>
    <w:bookmarkEnd w:id="75"/>
    <w:bookmarkEnd w:id="76"/>
    <w:bookmarkEnd w:id="77"/>
    <w:bookmarkEnd w:id="78"/>
    <w:bookmarkEnd w:id="79"/>
    <w:bookmarkEnd w:id="80"/>
    <w:bookmarkEnd w:id="81"/>
    <w:bookmarkEnd w:id="82"/>
    <w:p w14:paraId="718A9C1F">
      <w:pPr>
        <w:spacing w:beforeLines="0" w:afterLines="0" w:line="440" w:lineRule="exact"/>
        <w:jc w:val="both"/>
        <w:rPr>
          <w:rFonts w:hint="eastAsia" w:ascii="Times New Roman" w:hAnsi="Times New Roman" w:eastAsia="Times New Roman"/>
          <w:sz w:val="28"/>
          <w:szCs w:val="2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B0EE">
    <w:pPr>
      <w:pStyle w:val="14"/>
      <w:spacing w:beforeLines="0" w:afterLines="0"/>
      <w:ind w:firstLine="360"/>
      <w:jc w:val="center"/>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xaOQ9OcBAADH&#10;AwAADgAAAAAAAAABACAAAAAfAQAAZHJzL2Uyb0RvYy54bWxQSwUGAAAAAAYABgBZAQAAeAUAAAAA&#10;">
              <v:fill on="f" focussize="0,0"/>
              <v:stroke on="f" weight="0.5pt"/>
              <v:imagedata o:title=""/>
              <o:lock v:ext="edit" aspectratio="f"/>
              <v:textbox inset="0mm,0mm,0mm,0mm" style="mso-fit-shape-to-text:t;">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p w14:paraId="69DDDF53">
    <w:pPr>
      <w:pStyle w:val="14"/>
      <w:spacing w:beforeLines="0" w:afterLines="0"/>
      <w:ind w:firstLine="360"/>
      <w:rPr>
        <w:rFonts w:hint="default"/>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799A">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tnjUb+cBAADI&#10;AwAADgAAAAAAAAABACAAAAAfAQAAZHJzL2Uyb0RvYy54bWxQSwUGAAAAAAYABgBZAQAAeAUAAAAA&#10;">
              <v:fill on="f" focussize="0,0"/>
              <v:stroke on="f" weight="0.5pt"/>
              <v:imagedata o:title=""/>
              <o:lock v:ext="edit" aspectratio="f"/>
              <v:textbox inset="0mm,0mm,0mm,0mm" style="mso-fit-shape-to-text:t;">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B6E0">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9c8tT+cBAADI&#10;AwAADgAAAAAAAAABACAAAAAfAQAAZHJzL2Uyb0RvYy54bWxQSwUGAAAAAAYABgBZAQAAeAUAAAAA&#10;">
              <v:fill on="f" focussize="0,0"/>
              <v:stroke on="f" weight="0.5pt"/>
              <v:imagedata o:title=""/>
              <o:lock v:ext="edit" aspectratio="f"/>
              <v:textbox inset="0mm,0mm,0mm,0mm" style="mso-fit-shape-to-text:t;">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56C68">
    <w:pPr>
      <w:pStyle w:val="9"/>
      <w:spacing w:beforeLines="0" w:afterLines="0"/>
      <w:jc w:val="left"/>
      <w:rPr>
        <w:rFonts w:hint="eastAsia" w:ascii="仿宋_GB2312" w:hAnsi="仿宋_GB2312" w:eastAsia="仿宋_GB2312" w:cs="仿宋_GB2312"/>
        <w:b/>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389E0">
    <w:pPr>
      <w:pStyle w:val="9"/>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multilevel"/>
    <w:tmpl w:val="A735E4DF"/>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1D7D15A9"/>
    <w:multiLevelType w:val="multilevel"/>
    <w:tmpl w:val="1D7D15A9"/>
    <w:lvl w:ilvl="0" w:tentative="0">
      <w:start w:val="1"/>
      <w:numFmt w:val="ideographTradition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2630E854"/>
    <w:multiLevelType w:val="multilevel"/>
    <w:tmpl w:val="2630E854"/>
    <w:lvl w:ilvl="0" w:tentative="0">
      <w:start w:val="2"/>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2E95D47B"/>
    <w:multiLevelType w:val="multilevel"/>
    <w:tmpl w:val="2E95D47B"/>
    <w:lvl w:ilvl="0" w:tentative="0">
      <w:start w:val="1"/>
      <w:numFmt w:val="decimal"/>
      <w:pStyle w:val="3"/>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792DD599"/>
    <w:multiLevelType w:val="multilevel"/>
    <w:tmpl w:val="792DD599"/>
    <w:lvl w:ilvl="0" w:tentative="0">
      <w:start w:val="2"/>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333A2A"/>
    <w:rsid w:val="005607D6"/>
    <w:rsid w:val="005F4152"/>
    <w:rsid w:val="00653222"/>
    <w:rsid w:val="00675481"/>
    <w:rsid w:val="00691F7C"/>
    <w:rsid w:val="00724BD4"/>
    <w:rsid w:val="007678F7"/>
    <w:rsid w:val="007C6E94"/>
    <w:rsid w:val="008B169A"/>
    <w:rsid w:val="00950240"/>
    <w:rsid w:val="00A15DCF"/>
    <w:rsid w:val="00D704DB"/>
    <w:rsid w:val="00DE5743"/>
    <w:rsid w:val="00E30FAC"/>
    <w:rsid w:val="00E8570D"/>
    <w:rsid w:val="010A3C11"/>
    <w:rsid w:val="010E69FF"/>
    <w:rsid w:val="0115193D"/>
    <w:rsid w:val="017D7CB0"/>
    <w:rsid w:val="0180687D"/>
    <w:rsid w:val="01DF3052"/>
    <w:rsid w:val="0211370D"/>
    <w:rsid w:val="022655F4"/>
    <w:rsid w:val="023E3C6A"/>
    <w:rsid w:val="0286092F"/>
    <w:rsid w:val="028D5673"/>
    <w:rsid w:val="02B159B4"/>
    <w:rsid w:val="02C26D91"/>
    <w:rsid w:val="02D346A3"/>
    <w:rsid w:val="02DF3606"/>
    <w:rsid w:val="02F05C02"/>
    <w:rsid w:val="0350044F"/>
    <w:rsid w:val="03602FE7"/>
    <w:rsid w:val="0371289F"/>
    <w:rsid w:val="038863C7"/>
    <w:rsid w:val="03A9557F"/>
    <w:rsid w:val="03BF4419"/>
    <w:rsid w:val="03C513DB"/>
    <w:rsid w:val="03E73AF1"/>
    <w:rsid w:val="03F914B2"/>
    <w:rsid w:val="04230E30"/>
    <w:rsid w:val="042516B9"/>
    <w:rsid w:val="04284E13"/>
    <w:rsid w:val="042F2C67"/>
    <w:rsid w:val="045E338A"/>
    <w:rsid w:val="047010F6"/>
    <w:rsid w:val="04701D1E"/>
    <w:rsid w:val="04842AA6"/>
    <w:rsid w:val="04B27DDA"/>
    <w:rsid w:val="04E034BC"/>
    <w:rsid w:val="0535195E"/>
    <w:rsid w:val="054416D2"/>
    <w:rsid w:val="057523EE"/>
    <w:rsid w:val="05AF29EE"/>
    <w:rsid w:val="05D2339D"/>
    <w:rsid w:val="05F62696"/>
    <w:rsid w:val="05F94BA8"/>
    <w:rsid w:val="060774EA"/>
    <w:rsid w:val="062C6F51"/>
    <w:rsid w:val="06341F34"/>
    <w:rsid w:val="064D77D2"/>
    <w:rsid w:val="068727A0"/>
    <w:rsid w:val="06A116ED"/>
    <w:rsid w:val="06CE3B4B"/>
    <w:rsid w:val="07063EDC"/>
    <w:rsid w:val="071432F2"/>
    <w:rsid w:val="072B7870"/>
    <w:rsid w:val="073835B2"/>
    <w:rsid w:val="076958CF"/>
    <w:rsid w:val="07A31864"/>
    <w:rsid w:val="07AF3996"/>
    <w:rsid w:val="07C951F6"/>
    <w:rsid w:val="080B2B96"/>
    <w:rsid w:val="081A53ED"/>
    <w:rsid w:val="081D6FC0"/>
    <w:rsid w:val="08412974"/>
    <w:rsid w:val="0857133C"/>
    <w:rsid w:val="0881185D"/>
    <w:rsid w:val="08907C6B"/>
    <w:rsid w:val="08E91129"/>
    <w:rsid w:val="08EC520F"/>
    <w:rsid w:val="090A6B05"/>
    <w:rsid w:val="09187C60"/>
    <w:rsid w:val="091A677A"/>
    <w:rsid w:val="09210464"/>
    <w:rsid w:val="095E1B17"/>
    <w:rsid w:val="095E568B"/>
    <w:rsid w:val="096867B1"/>
    <w:rsid w:val="09B13FF7"/>
    <w:rsid w:val="0A222B45"/>
    <w:rsid w:val="0A2E7496"/>
    <w:rsid w:val="0A415F8C"/>
    <w:rsid w:val="0A466107"/>
    <w:rsid w:val="0A497A95"/>
    <w:rsid w:val="0A64315D"/>
    <w:rsid w:val="0A941F2B"/>
    <w:rsid w:val="0AAD73BC"/>
    <w:rsid w:val="0AB84C95"/>
    <w:rsid w:val="0AED0915"/>
    <w:rsid w:val="0AF3003D"/>
    <w:rsid w:val="0AF53DB5"/>
    <w:rsid w:val="0B286939"/>
    <w:rsid w:val="0B2E4625"/>
    <w:rsid w:val="0B416FFB"/>
    <w:rsid w:val="0BA10DDD"/>
    <w:rsid w:val="0BB2614A"/>
    <w:rsid w:val="0BC86369"/>
    <w:rsid w:val="0BCC3D77"/>
    <w:rsid w:val="0BDD422F"/>
    <w:rsid w:val="0C024903"/>
    <w:rsid w:val="0C0B7829"/>
    <w:rsid w:val="0C126BE9"/>
    <w:rsid w:val="0C252478"/>
    <w:rsid w:val="0C3966E0"/>
    <w:rsid w:val="0C425774"/>
    <w:rsid w:val="0C433DD8"/>
    <w:rsid w:val="0CA667B4"/>
    <w:rsid w:val="0CB62B1E"/>
    <w:rsid w:val="0D2E601A"/>
    <w:rsid w:val="0D2F715C"/>
    <w:rsid w:val="0D604989"/>
    <w:rsid w:val="0D676CED"/>
    <w:rsid w:val="0DBD0BDC"/>
    <w:rsid w:val="0DC42165"/>
    <w:rsid w:val="0DE02F17"/>
    <w:rsid w:val="0DF4444A"/>
    <w:rsid w:val="0E436CA2"/>
    <w:rsid w:val="0E4F7C80"/>
    <w:rsid w:val="0EA07AC2"/>
    <w:rsid w:val="0EB73ADA"/>
    <w:rsid w:val="0EBA46A3"/>
    <w:rsid w:val="0EBB2DAD"/>
    <w:rsid w:val="0ED411DA"/>
    <w:rsid w:val="0F4E7639"/>
    <w:rsid w:val="0F531ACB"/>
    <w:rsid w:val="0F6F4854"/>
    <w:rsid w:val="0F9D4A1B"/>
    <w:rsid w:val="0F9F0794"/>
    <w:rsid w:val="0FB568C1"/>
    <w:rsid w:val="0FBE1FCA"/>
    <w:rsid w:val="0FD41FBD"/>
    <w:rsid w:val="0FD4370B"/>
    <w:rsid w:val="0FDC5544"/>
    <w:rsid w:val="101A751A"/>
    <w:rsid w:val="103E486A"/>
    <w:rsid w:val="10604D29"/>
    <w:rsid w:val="106D5B52"/>
    <w:rsid w:val="1090350E"/>
    <w:rsid w:val="10944070"/>
    <w:rsid w:val="10A6372F"/>
    <w:rsid w:val="10A97373"/>
    <w:rsid w:val="10DA535D"/>
    <w:rsid w:val="10F863AD"/>
    <w:rsid w:val="110D2AFF"/>
    <w:rsid w:val="112131E2"/>
    <w:rsid w:val="11445E23"/>
    <w:rsid w:val="11681ED6"/>
    <w:rsid w:val="119C482A"/>
    <w:rsid w:val="11C6025A"/>
    <w:rsid w:val="11DF30C9"/>
    <w:rsid w:val="11EB7CC0"/>
    <w:rsid w:val="11F528ED"/>
    <w:rsid w:val="11FD4CD5"/>
    <w:rsid w:val="129325F3"/>
    <w:rsid w:val="129465AA"/>
    <w:rsid w:val="12983425"/>
    <w:rsid w:val="12FA3B2F"/>
    <w:rsid w:val="13431F92"/>
    <w:rsid w:val="13955E86"/>
    <w:rsid w:val="13C13BEB"/>
    <w:rsid w:val="13D604FC"/>
    <w:rsid w:val="13E11194"/>
    <w:rsid w:val="13EC1865"/>
    <w:rsid w:val="144A391D"/>
    <w:rsid w:val="145D3899"/>
    <w:rsid w:val="1468432B"/>
    <w:rsid w:val="14B7657F"/>
    <w:rsid w:val="14CE63E8"/>
    <w:rsid w:val="150E5893"/>
    <w:rsid w:val="15133F2C"/>
    <w:rsid w:val="15607212"/>
    <w:rsid w:val="1563568B"/>
    <w:rsid w:val="15834346"/>
    <w:rsid w:val="15AF385B"/>
    <w:rsid w:val="15C3657D"/>
    <w:rsid w:val="15ED748E"/>
    <w:rsid w:val="16201F02"/>
    <w:rsid w:val="1621708A"/>
    <w:rsid w:val="163D1F3A"/>
    <w:rsid w:val="16414AC9"/>
    <w:rsid w:val="166B6B73"/>
    <w:rsid w:val="16777D74"/>
    <w:rsid w:val="167C0AF5"/>
    <w:rsid w:val="167C76AF"/>
    <w:rsid w:val="16A14FAE"/>
    <w:rsid w:val="16FF3D15"/>
    <w:rsid w:val="17024379"/>
    <w:rsid w:val="17263548"/>
    <w:rsid w:val="17755202"/>
    <w:rsid w:val="1776370C"/>
    <w:rsid w:val="17CF3BE0"/>
    <w:rsid w:val="17E374A3"/>
    <w:rsid w:val="186C7681"/>
    <w:rsid w:val="18786026"/>
    <w:rsid w:val="188C4113"/>
    <w:rsid w:val="189E5E26"/>
    <w:rsid w:val="18D04606"/>
    <w:rsid w:val="18D70F9E"/>
    <w:rsid w:val="18FA5B52"/>
    <w:rsid w:val="19053D5D"/>
    <w:rsid w:val="190D676E"/>
    <w:rsid w:val="191A46EE"/>
    <w:rsid w:val="19600F94"/>
    <w:rsid w:val="19647370"/>
    <w:rsid w:val="198509FA"/>
    <w:rsid w:val="19A32D0D"/>
    <w:rsid w:val="19C83B53"/>
    <w:rsid w:val="19DE1C05"/>
    <w:rsid w:val="19EB0A7A"/>
    <w:rsid w:val="1A185E2C"/>
    <w:rsid w:val="1A1D0C33"/>
    <w:rsid w:val="1A3C6E09"/>
    <w:rsid w:val="1A657CD8"/>
    <w:rsid w:val="1A741F99"/>
    <w:rsid w:val="1AA634F7"/>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F12CD2"/>
    <w:rsid w:val="1D3320C5"/>
    <w:rsid w:val="1D3772E3"/>
    <w:rsid w:val="1D3F5364"/>
    <w:rsid w:val="1D787BD0"/>
    <w:rsid w:val="1D9C6C71"/>
    <w:rsid w:val="1DBF4066"/>
    <w:rsid w:val="1DC0096E"/>
    <w:rsid w:val="1DD02C25"/>
    <w:rsid w:val="1DDD26E1"/>
    <w:rsid w:val="1DFB32CC"/>
    <w:rsid w:val="1E085F02"/>
    <w:rsid w:val="1E304C77"/>
    <w:rsid w:val="1E562AD4"/>
    <w:rsid w:val="1E764DB5"/>
    <w:rsid w:val="1E7D7EF2"/>
    <w:rsid w:val="1E7E7378"/>
    <w:rsid w:val="1E957931"/>
    <w:rsid w:val="1EED7E88"/>
    <w:rsid w:val="1EEE0DF0"/>
    <w:rsid w:val="1F0529C7"/>
    <w:rsid w:val="1F091FF2"/>
    <w:rsid w:val="1F172B9E"/>
    <w:rsid w:val="1F8615BF"/>
    <w:rsid w:val="1F93095F"/>
    <w:rsid w:val="1FB449F5"/>
    <w:rsid w:val="1FC01B05"/>
    <w:rsid w:val="1FE64151"/>
    <w:rsid w:val="1FEA7927"/>
    <w:rsid w:val="201E0812"/>
    <w:rsid w:val="20220D88"/>
    <w:rsid w:val="202D724A"/>
    <w:rsid w:val="20432E03"/>
    <w:rsid w:val="20703AC9"/>
    <w:rsid w:val="20CE5700"/>
    <w:rsid w:val="20CE712B"/>
    <w:rsid w:val="20E701EC"/>
    <w:rsid w:val="20FB77F4"/>
    <w:rsid w:val="21366A7E"/>
    <w:rsid w:val="213B5488"/>
    <w:rsid w:val="213B7C90"/>
    <w:rsid w:val="216C51F8"/>
    <w:rsid w:val="21705735"/>
    <w:rsid w:val="21EC1864"/>
    <w:rsid w:val="2211172D"/>
    <w:rsid w:val="22160D89"/>
    <w:rsid w:val="222F5C4D"/>
    <w:rsid w:val="22456F98"/>
    <w:rsid w:val="22694276"/>
    <w:rsid w:val="22776244"/>
    <w:rsid w:val="22853AE2"/>
    <w:rsid w:val="22886585"/>
    <w:rsid w:val="22A243CB"/>
    <w:rsid w:val="22E61BD6"/>
    <w:rsid w:val="23610B8C"/>
    <w:rsid w:val="23767E36"/>
    <w:rsid w:val="23A67E9D"/>
    <w:rsid w:val="23D04F68"/>
    <w:rsid w:val="241155A9"/>
    <w:rsid w:val="24170733"/>
    <w:rsid w:val="241D716E"/>
    <w:rsid w:val="244412FB"/>
    <w:rsid w:val="24573D82"/>
    <w:rsid w:val="2472524B"/>
    <w:rsid w:val="247578BD"/>
    <w:rsid w:val="24AD2EBF"/>
    <w:rsid w:val="24BB5C18"/>
    <w:rsid w:val="25076E4C"/>
    <w:rsid w:val="253902A6"/>
    <w:rsid w:val="253F05F7"/>
    <w:rsid w:val="254A0D4A"/>
    <w:rsid w:val="254B358D"/>
    <w:rsid w:val="256E6DFD"/>
    <w:rsid w:val="25891872"/>
    <w:rsid w:val="25B678EC"/>
    <w:rsid w:val="25B736EC"/>
    <w:rsid w:val="25CC7C14"/>
    <w:rsid w:val="2613091A"/>
    <w:rsid w:val="264D0AF2"/>
    <w:rsid w:val="265909F3"/>
    <w:rsid w:val="26BB5A5B"/>
    <w:rsid w:val="26DD27D4"/>
    <w:rsid w:val="26E0066E"/>
    <w:rsid w:val="26E81DCB"/>
    <w:rsid w:val="26F1147D"/>
    <w:rsid w:val="26FE3B9A"/>
    <w:rsid w:val="27054F28"/>
    <w:rsid w:val="273571C2"/>
    <w:rsid w:val="275A75F4"/>
    <w:rsid w:val="275E50DA"/>
    <w:rsid w:val="27621A0B"/>
    <w:rsid w:val="279E7B84"/>
    <w:rsid w:val="27B103DE"/>
    <w:rsid w:val="27C945C7"/>
    <w:rsid w:val="27DC4161"/>
    <w:rsid w:val="28302479"/>
    <w:rsid w:val="285445B2"/>
    <w:rsid w:val="28602276"/>
    <w:rsid w:val="28B70F69"/>
    <w:rsid w:val="28D24D9C"/>
    <w:rsid w:val="28F25980"/>
    <w:rsid w:val="28FE7045"/>
    <w:rsid w:val="2941798C"/>
    <w:rsid w:val="294C5129"/>
    <w:rsid w:val="295C70D0"/>
    <w:rsid w:val="295E4EA3"/>
    <w:rsid w:val="296F6FD1"/>
    <w:rsid w:val="2973261D"/>
    <w:rsid w:val="29C70BBB"/>
    <w:rsid w:val="29CD4E78"/>
    <w:rsid w:val="29E4351B"/>
    <w:rsid w:val="2A305480"/>
    <w:rsid w:val="2A3D2C2B"/>
    <w:rsid w:val="2A522B7B"/>
    <w:rsid w:val="2A8F70B0"/>
    <w:rsid w:val="2A9C3DF6"/>
    <w:rsid w:val="2AE43776"/>
    <w:rsid w:val="2B06015E"/>
    <w:rsid w:val="2B1D5459"/>
    <w:rsid w:val="2B276CB6"/>
    <w:rsid w:val="2B4F4ECF"/>
    <w:rsid w:val="2BA74026"/>
    <w:rsid w:val="2BD7530D"/>
    <w:rsid w:val="2C2263B3"/>
    <w:rsid w:val="2C9C2F72"/>
    <w:rsid w:val="2CC15D7F"/>
    <w:rsid w:val="2CD80A09"/>
    <w:rsid w:val="2CE83322"/>
    <w:rsid w:val="2D141CF6"/>
    <w:rsid w:val="2D502872"/>
    <w:rsid w:val="2D567CDD"/>
    <w:rsid w:val="2D63277A"/>
    <w:rsid w:val="2D764930"/>
    <w:rsid w:val="2D984126"/>
    <w:rsid w:val="2DB31BE6"/>
    <w:rsid w:val="2DBE22D5"/>
    <w:rsid w:val="2E0A4375"/>
    <w:rsid w:val="2E0C3040"/>
    <w:rsid w:val="2E0D52BF"/>
    <w:rsid w:val="2E3031D3"/>
    <w:rsid w:val="2E35623B"/>
    <w:rsid w:val="2E4E3659"/>
    <w:rsid w:val="2E6740D2"/>
    <w:rsid w:val="2EC138D2"/>
    <w:rsid w:val="2ED8288A"/>
    <w:rsid w:val="2EE205A6"/>
    <w:rsid w:val="2F18216E"/>
    <w:rsid w:val="2F1E127D"/>
    <w:rsid w:val="2F2969EB"/>
    <w:rsid w:val="2F2A27CB"/>
    <w:rsid w:val="2F401502"/>
    <w:rsid w:val="2F462582"/>
    <w:rsid w:val="2F5673B3"/>
    <w:rsid w:val="2F714B04"/>
    <w:rsid w:val="2F911FDB"/>
    <w:rsid w:val="2F920A3A"/>
    <w:rsid w:val="2FA34B91"/>
    <w:rsid w:val="2FED3439"/>
    <w:rsid w:val="2FFB71AB"/>
    <w:rsid w:val="300246FB"/>
    <w:rsid w:val="30064FDA"/>
    <w:rsid w:val="303773D1"/>
    <w:rsid w:val="30793AE8"/>
    <w:rsid w:val="307A49E5"/>
    <w:rsid w:val="30B55C11"/>
    <w:rsid w:val="30F73915"/>
    <w:rsid w:val="31165933"/>
    <w:rsid w:val="316E7428"/>
    <w:rsid w:val="319B3695"/>
    <w:rsid w:val="31BF0E0A"/>
    <w:rsid w:val="31D976DD"/>
    <w:rsid w:val="31FB7654"/>
    <w:rsid w:val="32164205"/>
    <w:rsid w:val="32332253"/>
    <w:rsid w:val="324271A8"/>
    <w:rsid w:val="329D4BAF"/>
    <w:rsid w:val="32BD2B5B"/>
    <w:rsid w:val="32D10F12"/>
    <w:rsid w:val="32E53DDE"/>
    <w:rsid w:val="331D35FA"/>
    <w:rsid w:val="333B777A"/>
    <w:rsid w:val="333F226C"/>
    <w:rsid w:val="339A2E9C"/>
    <w:rsid w:val="33A51F6D"/>
    <w:rsid w:val="33C26030"/>
    <w:rsid w:val="33C547A5"/>
    <w:rsid w:val="33E86E49"/>
    <w:rsid w:val="34526CBA"/>
    <w:rsid w:val="349C315B"/>
    <w:rsid w:val="34B22DB1"/>
    <w:rsid w:val="34E37BC2"/>
    <w:rsid w:val="34EA61B8"/>
    <w:rsid w:val="3518676F"/>
    <w:rsid w:val="35201A23"/>
    <w:rsid w:val="352E500F"/>
    <w:rsid w:val="355434F9"/>
    <w:rsid w:val="35727A6C"/>
    <w:rsid w:val="35843E04"/>
    <w:rsid w:val="358931C8"/>
    <w:rsid w:val="35B540D6"/>
    <w:rsid w:val="35BE0BED"/>
    <w:rsid w:val="35C66E2C"/>
    <w:rsid w:val="35CA2312"/>
    <w:rsid w:val="35F76384"/>
    <w:rsid w:val="361938E0"/>
    <w:rsid w:val="36413AA3"/>
    <w:rsid w:val="364C2F9C"/>
    <w:rsid w:val="364C6C07"/>
    <w:rsid w:val="366A124C"/>
    <w:rsid w:val="36C144C3"/>
    <w:rsid w:val="372633C5"/>
    <w:rsid w:val="37774A03"/>
    <w:rsid w:val="377C4EB7"/>
    <w:rsid w:val="37841E99"/>
    <w:rsid w:val="3885411B"/>
    <w:rsid w:val="388C7CC2"/>
    <w:rsid w:val="38B92676"/>
    <w:rsid w:val="38C23C8C"/>
    <w:rsid w:val="38DC28FD"/>
    <w:rsid w:val="390A63CE"/>
    <w:rsid w:val="393F42CA"/>
    <w:rsid w:val="394D1ECD"/>
    <w:rsid w:val="39B20761"/>
    <w:rsid w:val="39D37108"/>
    <w:rsid w:val="39F257E0"/>
    <w:rsid w:val="3A1C1BAF"/>
    <w:rsid w:val="3A1F1997"/>
    <w:rsid w:val="3A282A5D"/>
    <w:rsid w:val="3A7129B2"/>
    <w:rsid w:val="3A777A93"/>
    <w:rsid w:val="3A886145"/>
    <w:rsid w:val="3AD4138A"/>
    <w:rsid w:val="3AD76784"/>
    <w:rsid w:val="3AE758D2"/>
    <w:rsid w:val="3AF61300"/>
    <w:rsid w:val="3AF8151D"/>
    <w:rsid w:val="3B096510"/>
    <w:rsid w:val="3B135A0E"/>
    <w:rsid w:val="3B2E0A9A"/>
    <w:rsid w:val="3B3377A5"/>
    <w:rsid w:val="3B361C73"/>
    <w:rsid w:val="3B414529"/>
    <w:rsid w:val="3B47240E"/>
    <w:rsid w:val="3B5A188F"/>
    <w:rsid w:val="3B7C2F21"/>
    <w:rsid w:val="3B895CD0"/>
    <w:rsid w:val="3B8970CB"/>
    <w:rsid w:val="3B8A41D3"/>
    <w:rsid w:val="3BC00DC4"/>
    <w:rsid w:val="3C0134A7"/>
    <w:rsid w:val="3C243C4B"/>
    <w:rsid w:val="3C4D6CFE"/>
    <w:rsid w:val="3C651D50"/>
    <w:rsid w:val="3C8666FD"/>
    <w:rsid w:val="3CA523B3"/>
    <w:rsid w:val="3CAF79B9"/>
    <w:rsid w:val="3CF7310E"/>
    <w:rsid w:val="3CFD709B"/>
    <w:rsid w:val="3D0C544F"/>
    <w:rsid w:val="3D3103CE"/>
    <w:rsid w:val="3D341A5C"/>
    <w:rsid w:val="3D380260"/>
    <w:rsid w:val="3D4041F2"/>
    <w:rsid w:val="3D5B49D0"/>
    <w:rsid w:val="3D734E8A"/>
    <w:rsid w:val="3D805368"/>
    <w:rsid w:val="3D820C29"/>
    <w:rsid w:val="3DB57993"/>
    <w:rsid w:val="3DF132CA"/>
    <w:rsid w:val="3E103B9E"/>
    <w:rsid w:val="3E2829E9"/>
    <w:rsid w:val="3E5113D8"/>
    <w:rsid w:val="3E832EAB"/>
    <w:rsid w:val="3E901392"/>
    <w:rsid w:val="3EBE76C5"/>
    <w:rsid w:val="3ECC22A5"/>
    <w:rsid w:val="3EDA4CBD"/>
    <w:rsid w:val="3EDB2CE7"/>
    <w:rsid w:val="3F1C36C5"/>
    <w:rsid w:val="3F1E0E25"/>
    <w:rsid w:val="3F39739F"/>
    <w:rsid w:val="3F3B7761"/>
    <w:rsid w:val="3F3E1D92"/>
    <w:rsid w:val="3F3E3276"/>
    <w:rsid w:val="3FA70E1B"/>
    <w:rsid w:val="3FB452E6"/>
    <w:rsid w:val="3FB5178A"/>
    <w:rsid w:val="3FF744E4"/>
    <w:rsid w:val="40077B0C"/>
    <w:rsid w:val="40290860"/>
    <w:rsid w:val="40297A82"/>
    <w:rsid w:val="402B37FA"/>
    <w:rsid w:val="403D54CD"/>
    <w:rsid w:val="405F2DDF"/>
    <w:rsid w:val="406D41CF"/>
    <w:rsid w:val="407707ED"/>
    <w:rsid w:val="408028ED"/>
    <w:rsid w:val="40C7284E"/>
    <w:rsid w:val="40D665AC"/>
    <w:rsid w:val="40D95004"/>
    <w:rsid w:val="40F13E3D"/>
    <w:rsid w:val="41212AAF"/>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8445FE"/>
    <w:rsid w:val="42A35E1F"/>
    <w:rsid w:val="42E414A5"/>
    <w:rsid w:val="42ED38B0"/>
    <w:rsid w:val="430239C6"/>
    <w:rsid w:val="435F025C"/>
    <w:rsid w:val="43676230"/>
    <w:rsid w:val="442716E3"/>
    <w:rsid w:val="442A3DC9"/>
    <w:rsid w:val="443A04B0"/>
    <w:rsid w:val="445A35AB"/>
    <w:rsid w:val="445B0426"/>
    <w:rsid w:val="44623B29"/>
    <w:rsid w:val="44AC6153"/>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9303C7"/>
    <w:rsid w:val="46B5206F"/>
    <w:rsid w:val="46CA0775"/>
    <w:rsid w:val="46D53D73"/>
    <w:rsid w:val="470256D4"/>
    <w:rsid w:val="471825FE"/>
    <w:rsid w:val="475036EC"/>
    <w:rsid w:val="476304E5"/>
    <w:rsid w:val="477C1FA4"/>
    <w:rsid w:val="47BE4F54"/>
    <w:rsid w:val="483D1893"/>
    <w:rsid w:val="48407E8B"/>
    <w:rsid w:val="48492B5E"/>
    <w:rsid w:val="486A70F8"/>
    <w:rsid w:val="48855A71"/>
    <w:rsid w:val="48941C0A"/>
    <w:rsid w:val="48AA4184"/>
    <w:rsid w:val="48D016B1"/>
    <w:rsid w:val="48EB621C"/>
    <w:rsid w:val="48EF63BC"/>
    <w:rsid w:val="48F03833"/>
    <w:rsid w:val="49143FE3"/>
    <w:rsid w:val="49410045"/>
    <w:rsid w:val="497B5EAF"/>
    <w:rsid w:val="49920190"/>
    <w:rsid w:val="49BB5BEF"/>
    <w:rsid w:val="49E550B8"/>
    <w:rsid w:val="4A235542"/>
    <w:rsid w:val="4A304D72"/>
    <w:rsid w:val="4A901749"/>
    <w:rsid w:val="4ABD50B2"/>
    <w:rsid w:val="4AD53ABA"/>
    <w:rsid w:val="4ADA08DD"/>
    <w:rsid w:val="4AF53CDA"/>
    <w:rsid w:val="4B053801"/>
    <w:rsid w:val="4B302190"/>
    <w:rsid w:val="4B4B4D50"/>
    <w:rsid w:val="4B920BD1"/>
    <w:rsid w:val="4BBA3C84"/>
    <w:rsid w:val="4BCD1E1A"/>
    <w:rsid w:val="4BD03FC7"/>
    <w:rsid w:val="4C0D05F0"/>
    <w:rsid w:val="4C336232"/>
    <w:rsid w:val="4C4321BE"/>
    <w:rsid w:val="4C4D68A6"/>
    <w:rsid w:val="4C5440D8"/>
    <w:rsid w:val="4C5B1CC0"/>
    <w:rsid w:val="4C6063F0"/>
    <w:rsid w:val="4C8921FB"/>
    <w:rsid w:val="4CDE25B8"/>
    <w:rsid w:val="4D031C9B"/>
    <w:rsid w:val="4D237C5B"/>
    <w:rsid w:val="4D4C1815"/>
    <w:rsid w:val="4D6E195B"/>
    <w:rsid w:val="4D882C83"/>
    <w:rsid w:val="4DB33731"/>
    <w:rsid w:val="4DB34E9F"/>
    <w:rsid w:val="4DD45985"/>
    <w:rsid w:val="4DDE57A5"/>
    <w:rsid w:val="4DE4323A"/>
    <w:rsid w:val="4DED5CE9"/>
    <w:rsid w:val="4DFC7AC5"/>
    <w:rsid w:val="4E015B9A"/>
    <w:rsid w:val="4E040F77"/>
    <w:rsid w:val="4E0D2791"/>
    <w:rsid w:val="4E381FE7"/>
    <w:rsid w:val="4E7D3760"/>
    <w:rsid w:val="4EB919E2"/>
    <w:rsid w:val="4EF15C0F"/>
    <w:rsid w:val="4EFB083B"/>
    <w:rsid w:val="4F0478A8"/>
    <w:rsid w:val="4F0E4A13"/>
    <w:rsid w:val="4F245FE4"/>
    <w:rsid w:val="4F570614"/>
    <w:rsid w:val="4F7A3E56"/>
    <w:rsid w:val="4F7E3AF1"/>
    <w:rsid w:val="4FA46041"/>
    <w:rsid w:val="4FC66123"/>
    <w:rsid w:val="4FC81DBA"/>
    <w:rsid w:val="4FF260E2"/>
    <w:rsid w:val="50083210"/>
    <w:rsid w:val="501047BA"/>
    <w:rsid w:val="50493828"/>
    <w:rsid w:val="5051384E"/>
    <w:rsid w:val="50792360"/>
    <w:rsid w:val="507C1E50"/>
    <w:rsid w:val="50932863"/>
    <w:rsid w:val="50A92418"/>
    <w:rsid w:val="50C64757"/>
    <w:rsid w:val="50E04186"/>
    <w:rsid w:val="511A7AB0"/>
    <w:rsid w:val="512E2388"/>
    <w:rsid w:val="51801680"/>
    <w:rsid w:val="51874B5C"/>
    <w:rsid w:val="51CF2578"/>
    <w:rsid w:val="51D82289"/>
    <w:rsid w:val="51E101BC"/>
    <w:rsid w:val="522600D8"/>
    <w:rsid w:val="5230624E"/>
    <w:rsid w:val="524B7D2C"/>
    <w:rsid w:val="525E7F64"/>
    <w:rsid w:val="526037D7"/>
    <w:rsid w:val="528B597C"/>
    <w:rsid w:val="52A031D1"/>
    <w:rsid w:val="52B24B47"/>
    <w:rsid w:val="52B3031A"/>
    <w:rsid w:val="52BA1516"/>
    <w:rsid w:val="52D33D8B"/>
    <w:rsid w:val="52EF06B7"/>
    <w:rsid w:val="531039DD"/>
    <w:rsid w:val="53180D32"/>
    <w:rsid w:val="53441F96"/>
    <w:rsid w:val="53755718"/>
    <w:rsid w:val="53807F59"/>
    <w:rsid w:val="538E5800"/>
    <w:rsid w:val="53966D81"/>
    <w:rsid w:val="53C77F81"/>
    <w:rsid w:val="549A6B3D"/>
    <w:rsid w:val="549C03CB"/>
    <w:rsid w:val="54C469B0"/>
    <w:rsid w:val="54CD2C7A"/>
    <w:rsid w:val="54E35FFA"/>
    <w:rsid w:val="54F71AA5"/>
    <w:rsid w:val="551254D1"/>
    <w:rsid w:val="55164621"/>
    <w:rsid w:val="55184EF2"/>
    <w:rsid w:val="551A6A20"/>
    <w:rsid w:val="55240296"/>
    <w:rsid w:val="5579070C"/>
    <w:rsid w:val="557F5C64"/>
    <w:rsid w:val="55CE5FAF"/>
    <w:rsid w:val="55D65B5E"/>
    <w:rsid w:val="55FF50B5"/>
    <w:rsid w:val="563E671E"/>
    <w:rsid w:val="5647080A"/>
    <w:rsid w:val="56695122"/>
    <w:rsid w:val="56777341"/>
    <w:rsid w:val="567C6706"/>
    <w:rsid w:val="568D4A8B"/>
    <w:rsid w:val="56AD68BF"/>
    <w:rsid w:val="56E322E1"/>
    <w:rsid w:val="56F72C39"/>
    <w:rsid w:val="5741059C"/>
    <w:rsid w:val="5787376C"/>
    <w:rsid w:val="579B705F"/>
    <w:rsid w:val="57EC71D5"/>
    <w:rsid w:val="581A249A"/>
    <w:rsid w:val="58247055"/>
    <w:rsid w:val="58340631"/>
    <w:rsid w:val="588621CE"/>
    <w:rsid w:val="588927B2"/>
    <w:rsid w:val="58A14202"/>
    <w:rsid w:val="58AC03AC"/>
    <w:rsid w:val="58B3037A"/>
    <w:rsid w:val="58B946E8"/>
    <w:rsid w:val="5906675A"/>
    <w:rsid w:val="593212FE"/>
    <w:rsid w:val="593432C8"/>
    <w:rsid w:val="596A327B"/>
    <w:rsid w:val="598F3C15"/>
    <w:rsid w:val="59A44AE5"/>
    <w:rsid w:val="59C43179"/>
    <w:rsid w:val="59E21F44"/>
    <w:rsid w:val="59EF7044"/>
    <w:rsid w:val="59FB5B93"/>
    <w:rsid w:val="5A1256BA"/>
    <w:rsid w:val="5A1B2694"/>
    <w:rsid w:val="5A736D06"/>
    <w:rsid w:val="5AB51CCA"/>
    <w:rsid w:val="5AB57322"/>
    <w:rsid w:val="5AB86B82"/>
    <w:rsid w:val="5ADF7263"/>
    <w:rsid w:val="5AEB5C08"/>
    <w:rsid w:val="5AED4C1B"/>
    <w:rsid w:val="5B2D4472"/>
    <w:rsid w:val="5BA52831"/>
    <w:rsid w:val="5BC0596D"/>
    <w:rsid w:val="5BE5635E"/>
    <w:rsid w:val="5BE74621"/>
    <w:rsid w:val="5BE9183B"/>
    <w:rsid w:val="5C03587B"/>
    <w:rsid w:val="5C082ED9"/>
    <w:rsid w:val="5C453255"/>
    <w:rsid w:val="5C4805D9"/>
    <w:rsid w:val="5C482D1B"/>
    <w:rsid w:val="5C7236C4"/>
    <w:rsid w:val="5C8C4DD7"/>
    <w:rsid w:val="5CAD7A90"/>
    <w:rsid w:val="5CB82BDC"/>
    <w:rsid w:val="5CBA0A27"/>
    <w:rsid w:val="5CE24F97"/>
    <w:rsid w:val="5CEC3B27"/>
    <w:rsid w:val="5CF24CF3"/>
    <w:rsid w:val="5D047455"/>
    <w:rsid w:val="5D2B0DDD"/>
    <w:rsid w:val="5D656145"/>
    <w:rsid w:val="5D804893"/>
    <w:rsid w:val="5DA53F1B"/>
    <w:rsid w:val="5DA54794"/>
    <w:rsid w:val="5DC63FF9"/>
    <w:rsid w:val="5EDB472C"/>
    <w:rsid w:val="5F11214B"/>
    <w:rsid w:val="5F4571B2"/>
    <w:rsid w:val="5F4F2373"/>
    <w:rsid w:val="5F6A078D"/>
    <w:rsid w:val="5F9A7BFD"/>
    <w:rsid w:val="5F9D7807"/>
    <w:rsid w:val="5FA23A48"/>
    <w:rsid w:val="5FB36CBE"/>
    <w:rsid w:val="5FC627A0"/>
    <w:rsid w:val="5FD076A0"/>
    <w:rsid w:val="5FDD5177"/>
    <w:rsid w:val="5FED36FB"/>
    <w:rsid w:val="60000E7D"/>
    <w:rsid w:val="60353504"/>
    <w:rsid w:val="606F72DB"/>
    <w:rsid w:val="60A63A53"/>
    <w:rsid w:val="60BC5E8F"/>
    <w:rsid w:val="60CC0666"/>
    <w:rsid w:val="610E27AB"/>
    <w:rsid w:val="611511C3"/>
    <w:rsid w:val="61393910"/>
    <w:rsid w:val="61446072"/>
    <w:rsid w:val="61710A64"/>
    <w:rsid w:val="61D84352"/>
    <w:rsid w:val="61DA4AD9"/>
    <w:rsid w:val="61F335F4"/>
    <w:rsid w:val="62371BE3"/>
    <w:rsid w:val="623D3E1F"/>
    <w:rsid w:val="6256605D"/>
    <w:rsid w:val="62626313"/>
    <w:rsid w:val="629D4803"/>
    <w:rsid w:val="62A768B8"/>
    <w:rsid w:val="62A84DE7"/>
    <w:rsid w:val="62AE498D"/>
    <w:rsid w:val="62ED1A72"/>
    <w:rsid w:val="637F5A87"/>
    <w:rsid w:val="638048A2"/>
    <w:rsid w:val="63830E88"/>
    <w:rsid w:val="638A2399"/>
    <w:rsid w:val="63961533"/>
    <w:rsid w:val="63D57455"/>
    <w:rsid w:val="63D75258"/>
    <w:rsid w:val="63EF2CB1"/>
    <w:rsid w:val="63EF49BB"/>
    <w:rsid w:val="63F74842"/>
    <w:rsid w:val="63FF44D2"/>
    <w:rsid w:val="64077840"/>
    <w:rsid w:val="641504F8"/>
    <w:rsid w:val="643A375C"/>
    <w:rsid w:val="64601415"/>
    <w:rsid w:val="64774677"/>
    <w:rsid w:val="64AB0CD1"/>
    <w:rsid w:val="64C96613"/>
    <w:rsid w:val="64D84E1A"/>
    <w:rsid w:val="65312DB1"/>
    <w:rsid w:val="6558033E"/>
    <w:rsid w:val="656606E0"/>
    <w:rsid w:val="65675ED4"/>
    <w:rsid w:val="658C2053"/>
    <w:rsid w:val="65B56A50"/>
    <w:rsid w:val="65EB11B2"/>
    <w:rsid w:val="662F1CBC"/>
    <w:rsid w:val="66491353"/>
    <w:rsid w:val="66576847"/>
    <w:rsid w:val="6683497C"/>
    <w:rsid w:val="668A4527"/>
    <w:rsid w:val="66B21CD0"/>
    <w:rsid w:val="66B477F6"/>
    <w:rsid w:val="66BD399D"/>
    <w:rsid w:val="66E872A7"/>
    <w:rsid w:val="676E5CC7"/>
    <w:rsid w:val="67E14BAB"/>
    <w:rsid w:val="67EE0AE5"/>
    <w:rsid w:val="67F71E56"/>
    <w:rsid w:val="683A3D2B"/>
    <w:rsid w:val="684C44B3"/>
    <w:rsid w:val="68880F3A"/>
    <w:rsid w:val="68CA5B8B"/>
    <w:rsid w:val="690F1726"/>
    <w:rsid w:val="691922CA"/>
    <w:rsid w:val="6942765C"/>
    <w:rsid w:val="698B55A3"/>
    <w:rsid w:val="69D8608D"/>
    <w:rsid w:val="6A2D5CB0"/>
    <w:rsid w:val="6A4D2110"/>
    <w:rsid w:val="6A663992"/>
    <w:rsid w:val="6A7D0A56"/>
    <w:rsid w:val="6AB10CF8"/>
    <w:rsid w:val="6ABA6C3B"/>
    <w:rsid w:val="6B4078AA"/>
    <w:rsid w:val="6B4663C9"/>
    <w:rsid w:val="6B7B7F55"/>
    <w:rsid w:val="6B981494"/>
    <w:rsid w:val="6BA57CEF"/>
    <w:rsid w:val="6BB90159"/>
    <w:rsid w:val="6BC633B9"/>
    <w:rsid w:val="6BCC3834"/>
    <w:rsid w:val="6BD36FF6"/>
    <w:rsid w:val="6BD84130"/>
    <w:rsid w:val="6C111246"/>
    <w:rsid w:val="6C124248"/>
    <w:rsid w:val="6C6B059F"/>
    <w:rsid w:val="6C8E6D3B"/>
    <w:rsid w:val="6C9555FE"/>
    <w:rsid w:val="6CA00B62"/>
    <w:rsid w:val="6CBD4F2A"/>
    <w:rsid w:val="6CFE27E3"/>
    <w:rsid w:val="6D274D94"/>
    <w:rsid w:val="6D794C63"/>
    <w:rsid w:val="6D8C026B"/>
    <w:rsid w:val="6D955447"/>
    <w:rsid w:val="6D9E2EF6"/>
    <w:rsid w:val="6DAD3879"/>
    <w:rsid w:val="6DD01AB0"/>
    <w:rsid w:val="6DD857F0"/>
    <w:rsid w:val="6DDD7632"/>
    <w:rsid w:val="6DE94229"/>
    <w:rsid w:val="6DEB139F"/>
    <w:rsid w:val="6DF350A8"/>
    <w:rsid w:val="6E4A3AA9"/>
    <w:rsid w:val="6E557B10"/>
    <w:rsid w:val="6E62222D"/>
    <w:rsid w:val="6E741A47"/>
    <w:rsid w:val="6E846891"/>
    <w:rsid w:val="6E8626A0"/>
    <w:rsid w:val="6E8B3FD1"/>
    <w:rsid w:val="6E9D5013"/>
    <w:rsid w:val="6E9E14B7"/>
    <w:rsid w:val="6EB34837"/>
    <w:rsid w:val="6EB84DF6"/>
    <w:rsid w:val="6EC73382"/>
    <w:rsid w:val="6EDB181C"/>
    <w:rsid w:val="6F0843FC"/>
    <w:rsid w:val="6F0C014F"/>
    <w:rsid w:val="6F0D11E7"/>
    <w:rsid w:val="6F1D644C"/>
    <w:rsid w:val="6F4D02A4"/>
    <w:rsid w:val="6F793947"/>
    <w:rsid w:val="6FB72105"/>
    <w:rsid w:val="6FC83DE4"/>
    <w:rsid w:val="6FD9651F"/>
    <w:rsid w:val="6FDB4045"/>
    <w:rsid w:val="6FDB7D0C"/>
    <w:rsid w:val="6FDC23B5"/>
    <w:rsid w:val="701362DC"/>
    <w:rsid w:val="70344499"/>
    <w:rsid w:val="705D0EFE"/>
    <w:rsid w:val="7060279C"/>
    <w:rsid w:val="706B3710"/>
    <w:rsid w:val="706B4417"/>
    <w:rsid w:val="70784F6A"/>
    <w:rsid w:val="70AD066D"/>
    <w:rsid w:val="70B2470E"/>
    <w:rsid w:val="70B46822"/>
    <w:rsid w:val="70D77260"/>
    <w:rsid w:val="70E67235"/>
    <w:rsid w:val="710377E1"/>
    <w:rsid w:val="713117D3"/>
    <w:rsid w:val="713F23B2"/>
    <w:rsid w:val="715F2A54"/>
    <w:rsid w:val="716B6774"/>
    <w:rsid w:val="716B764B"/>
    <w:rsid w:val="716F2C97"/>
    <w:rsid w:val="71817101"/>
    <w:rsid w:val="71943263"/>
    <w:rsid w:val="71A10531"/>
    <w:rsid w:val="71B80224"/>
    <w:rsid w:val="71CF7BDA"/>
    <w:rsid w:val="71DD7BCE"/>
    <w:rsid w:val="71DE09E8"/>
    <w:rsid w:val="720B21A0"/>
    <w:rsid w:val="72231CD3"/>
    <w:rsid w:val="72414B2C"/>
    <w:rsid w:val="724265FE"/>
    <w:rsid w:val="725956F5"/>
    <w:rsid w:val="72771820"/>
    <w:rsid w:val="72775B5D"/>
    <w:rsid w:val="72B1108D"/>
    <w:rsid w:val="72E163D5"/>
    <w:rsid w:val="73010267"/>
    <w:rsid w:val="730651BF"/>
    <w:rsid w:val="732C1100"/>
    <w:rsid w:val="73400A3E"/>
    <w:rsid w:val="734D2E7F"/>
    <w:rsid w:val="735D7E91"/>
    <w:rsid w:val="737A5923"/>
    <w:rsid w:val="7395275D"/>
    <w:rsid w:val="73CF6471"/>
    <w:rsid w:val="73F118A1"/>
    <w:rsid w:val="740A17EE"/>
    <w:rsid w:val="74701DBB"/>
    <w:rsid w:val="74956EB9"/>
    <w:rsid w:val="7496678D"/>
    <w:rsid w:val="749E5641"/>
    <w:rsid w:val="74D15DE2"/>
    <w:rsid w:val="74E017E0"/>
    <w:rsid w:val="74E54A40"/>
    <w:rsid w:val="74EE7509"/>
    <w:rsid w:val="751002ED"/>
    <w:rsid w:val="751540E3"/>
    <w:rsid w:val="757762DF"/>
    <w:rsid w:val="75D91027"/>
    <w:rsid w:val="76085468"/>
    <w:rsid w:val="76183CDA"/>
    <w:rsid w:val="764861AD"/>
    <w:rsid w:val="764C0E19"/>
    <w:rsid w:val="76570D9E"/>
    <w:rsid w:val="765A1D4D"/>
    <w:rsid w:val="766308F1"/>
    <w:rsid w:val="76B55A6D"/>
    <w:rsid w:val="772B58B2"/>
    <w:rsid w:val="772F009D"/>
    <w:rsid w:val="777E3905"/>
    <w:rsid w:val="77813724"/>
    <w:rsid w:val="77822AD2"/>
    <w:rsid w:val="779A33A8"/>
    <w:rsid w:val="78263FA6"/>
    <w:rsid w:val="783E7867"/>
    <w:rsid w:val="7846297D"/>
    <w:rsid w:val="7859644F"/>
    <w:rsid w:val="78941235"/>
    <w:rsid w:val="78B13B95"/>
    <w:rsid w:val="78D635FC"/>
    <w:rsid w:val="78E40FA3"/>
    <w:rsid w:val="79126B5D"/>
    <w:rsid w:val="791E0B39"/>
    <w:rsid w:val="79487052"/>
    <w:rsid w:val="79586707"/>
    <w:rsid w:val="79941F77"/>
    <w:rsid w:val="79B63BEA"/>
    <w:rsid w:val="79BE0C60"/>
    <w:rsid w:val="79C218C0"/>
    <w:rsid w:val="79E06FD9"/>
    <w:rsid w:val="79F006ED"/>
    <w:rsid w:val="79F53437"/>
    <w:rsid w:val="79FF6565"/>
    <w:rsid w:val="7A144B1A"/>
    <w:rsid w:val="7A2B3BCE"/>
    <w:rsid w:val="7A4B533C"/>
    <w:rsid w:val="7A7430CC"/>
    <w:rsid w:val="7A80169B"/>
    <w:rsid w:val="7A962ADA"/>
    <w:rsid w:val="7AB47414"/>
    <w:rsid w:val="7AB95FF1"/>
    <w:rsid w:val="7AC3206E"/>
    <w:rsid w:val="7AC51215"/>
    <w:rsid w:val="7AE446F6"/>
    <w:rsid w:val="7AFF6ACD"/>
    <w:rsid w:val="7B0326A2"/>
    <w:rsid w:val="7B0F54EB"/>
    <w:rsid w:val="7B3F1B5C"/>
    <w:rsid w:val="7B436E21"/>
    <w:rsid w:val="7B54666E"/>
    <w:rsid w:val="7B5B0429"/>
    <w:rsid w:val="7B615E02"/>
    <w:rsid w:val="7BBC6B0F"/>
    <w:rsid w:val="7BF1357F"/>
    <w:rsid w:val="7BFA5853"/>
    <w:rsid w:val="7C1F52BA"/>
    <w:rsid w:val="7C4A2065"/>
    <w:rsid w:val="7C5C02BC"/>
    <w:rsid w:val="7C796F1F"/>
    <w:rsid w:val="7C855349"/>
    <w:rsid w:val="7CAA6238"/>
    <w:rsid w:val="7CFE65CC"/>
    <w:rsid w:val="7D085F7C"/>
    <w:rsid w:val="7D404FB3"/>
    <w:rsid w:val="7D8C697F"/>
    <w:rsid w:val="7DA02855"/>
    <w:rsid w:val="7DBE3A17"/>
    <w:rsid w:val="7DC73E5B"/>
    <w:rsid w:val="7DC73F51"/>
    <w:rsid w:val="7E0B1DFF"/>
    <w:rsid w:val="7E134C71"/>
    <w:rsid w:val="7E2352CD"/>
    <w:rsid w:val="7E2A3C98"/>
    <w:rsid w:val="7E5043EB"/>
    <w:rsid w:val="7E525E1A"/>
    <w:rsid w:val="7E604231"/>
    <w:rsid w:val="7E81400A"/>
    <w:rsid w:val="7EB34E00"/>
    <w:rsid w:val="7EF2571C"/>
    <w:rsid w:val="7F107F87"/>
    <w:rsid w:val="7F210F90"/>
    <w:rsid w:val="7F3405C5"/>
    <w:rsid w:val="7F361298"/>
    <w:rsid w:val="7F837A13"/>
    <w:rsid w:val="7F9F2560"/>
    <w:rsid w:val="7FA24979"/>
    <w:rsid w:val="7FEF15D8"/>
    <w:rsid w:val="7FF607AF"/>
    <w:rsid w:val="7FF60A27"/>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toa heading"/>
    <w:basedOn w:val="1"/>
    <w:next w:val="1"/>
    <w:unhideWhenUsed/>
    <w:qFormat/>
    <w:uiPriority w:val="0"/>
    <w:pPr>
      <w:spacing w:beforeLines="0" w:afterLines="0"/>
    </w:pPr>
    <w:rPr>
      <w:rFonts w:hint="default" w:ascii="Arial" w:hAnsi="Arial" w:eastAsia="宋体"/>
      <w:sz w:val="24"/>
      <w:szCs w:val="24"/>
    </w:rPr>
  </w:style>
  <w:style w:type="paragraph" w:styleId="8">
    <w:name w:val="Body Text"/>
    <w:basedOn w:val="1"/>
    <w:next w:val="9"/>
    <w:qFormat/>
    <w:uiPriority w:val="0"/>
    <w:pPr>
      <w:spacing w:after="120"/>
    </w:pPr>
  </w:style>
  <w:style w:type="paragraph" w:styleId="9">
    <w:name w:val="header"/>
    <w:basedOn w:val="1"/>
    <w:next w:val="10"/>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0">
    <w:name w:val="Quote"/>
    <w:basedOn w:val="1"/>
    <w:next w:val="1"/>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15503</Words>
  <Characters>16351</Characters>
  <Lines>1</Lines>
  <Paragraphs>1</Paragraphs>
  <TotalTime>11</TotalTime>
  <ScaleCrop>false</ScaleCrop>
  <LinksUpToDate>false</LinksUpToDate>
  <CharactersWithSpaces>18904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张小艳</cp:lastModifiedBy>
  <cp:lastPrinted>2025-07-18T03:56:00Z</cp:lastPrinted>
  <dcterms:modified xsi:type="dcterms:W3CDTF">2025-12-15T02:45:55Z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523B3539C59541A8A7984830A34D591C_13</vt:lpwstr>
  </property>
  <property fmtid="{D5CDD505-2E9C-101B-9397-08002B2CF9AE}" pid="4" name="KSOTemplateDocerSaveRecord">
    <vt:lpwstr>eyJoZGlkIjoiYjRiZjY4NmVlYjljNTAxY2NhOTE0OGE1NDhhZDI0N2YiLCJ1c2VySWQiOiIxMzg4MzE4Nzk5In0=</vt:lpwstr>
  </property>
</Properties>
</file>